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jc w:val="center"/>
        <w:rPr>
          <w:rFonts w:ascii="Verdana" w:hAnsi="Verdana"/>
        </w:rPr>
      </w:pPr>
      <w:r>
        <w:rPr>
          <w:rFonts w:cs="Arial" w:ascii="Verdana" w:hAnsi="Verdana"/>
          <w:b/>
          <w:bCs/>
          <w:smallCaps/>
          <w:color w:val="000000"/>
          <w:sz w:val="26"/>
          <w:szCs w:val="26"/>
        </w:rPr>
        <w:t xml:space="preserve">EDITAL </w:t>
      </w:r>
    </w:p>
    <w:p>
      <w:pPr>
        <w:pStyle w:val="Normal"/>
        <w:spacing w:lineRule="auto" w:line="240" w:before="57" w:after="57"/>
        <w:jc w:val="center"/>
        <w:rPr>
          <w:rFonts w:ascii="Verdana" w:hAnsi="Verdana"/>
        </w:rPr>
      </w:pPr>
      <w:r>
        <w:rPr>
          <w:rFonts w:cs="Arial" w:ascii="Verdana" w:hAnsi="Verdana"/>
          <w:b/>
          <w:bCs/>
          <w:smallCaps/>
          <w:color w:val="000000"/>
          <w:sz w:val="26"/>
          <w:szCs w:val="26"/>
        </w:rPr>
        <w:t>PREGÃO ELETRÔNICO Nº 014/2026</w:t>
      </w:r>
    </w:p>
    <w:p>
      <w:pPr>
        <w:pStyle w:val="Normal"/>
        <w:spacing w:lineRule="auto" w:line="240" w:before="57" w:after="57"/>
        <w:jc w:val="center"/>
        <w:rPr>
          <w:rFonts w:ascii="Verdana" w:hAnsi="Verdana"/>
        </w:rPr>
      </w:pPr>
      <w:r>
        <w:rPr>
          <w:rFonts w:cs="Arial" w:ascii="Verdana" w:hAnsi="Verdana"/>
          <w:b/>
          <w:bCs/>
          <w:smallCaps/>
          <w:color w:val="000000"/>
          <w:sz w:val="26"/>
          <w:szCs w:val="26"/>
        </w:rPr>
        <w:t>ID CIDADES: 2026.065E0500001.01.0010</w:t>
      </w:r>
    </w:p>
    <w:p>
      <w:pPr>
        <w:pStyle w:val="Normal"/>
        <w:spacing w:lineRule="auto" w:line="240" w:before="57" w:after="57"/>
        <w:jc w:val="center"/>
        <w:rPr>
          <w:rFonts w:ascii="Verdana" w:hAnsi="Verdana"/>
        </w:rPr>
      </w:pPr>
      <w:r>
        <w:rPr>
          <w:rFonts w:cs="Arial" w:ascii="Verdana" w:hAnsi="Verdana"/>
          <w:b/>
          <w:bCs/>
          <w:smallCaps/>
          <w:color w:val="000000"/>
          <w:sz w:val="26"/>
          <w:szCs w:val="26"/>
        </w:rPr>
        <w:t>(Processo Administrativo n° 002884/2026 de 27/04/2026)</w:t>
      </w:r>
    </w:p>
    <w:p>
      <w:pPr>
        <w:pStyle w:val="Normal"/>
        <w:spacing w:lineRule="auto" w:line="240" w:before="57" w:after="57"/>
        <w:jc w:val="center"/>
        <w:rPr>
          <w:rFonts w:ascii="Verdana" w:hAnsi="Verdana"/>
        </w:rPr>
      </w:pPr>
      <w:r>
        <w:rPr>
          <w:rFonts w:ascii="Verdana" w:hAnsi="Verdana"/>
        </w:rPr>
      </w:r>
    </w:p>
    <w:p>
      <w:pPr>
        <w:pStyle w:val="Normal"/>
        <w:spacing w:lineRule="auto" w:line="240" w:before="57" w:after="57"/>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rFonts w:ascii="Verdana" w:hAnsi="Verdana"/>
        </w:rPr>
      </w:pPr>
      <w:r>
        <w:rPr>
          <w:rFonts w:cs="Arial" w:ascii="Verdana" w:hAnsi="Verdana"/>
          <w:b/>
          <w:bCs/>
          <w:color w:val="000000"/>
          <w:sz w:val="20"/>
          <w:szCs w:val="20"/>
        </w:rPr>
        <w:t>Data da sessão: 03/06/2026.</w:t>
      </w:r>
    </w:p>
    <w:p>
      <w:pPr>
        <w:pStyle w:val="Normal"/>
        <w:spacing w:lineRule="auto" w:line="240" w:before="57" w:after="57"/>
        <w:rPr>
          <w:rFonts w:ascii="Verdana" w:hAnsi="Verdana"/>
        </w:rPr>
      </w:pPr>
      <w:r>
        <w:rPr>
          <w:rFonts w:cs="Arial" w:ascii="Verdana" w:hAnsi="Verdana"/>
          <w:b/>
          <w:bCs/>
          <w:color w:val="000000"/>
          <w:sz w:val="20"/>
          <w:szCs w:val="20"/>
        </w:rPr>
        <w:t>Horário: 13h00min.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Portal de Compras Públicas –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DO OBJETO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1.1 O objeto da presente licitação é a Aquisição de medicamento pactuado para atender as necessidades da F</w:t>
      </w:r>
      <w:bookmarkStart w:id="1" w:name="_Hlk171322521"/>
      <w:r>
        <w:rPr>
          <w:rFonts w:cs="Verdana" w:ascii="Verdana" w:hAnsi="Verdana"/>
          <w:bCs/>
          <w:sz w:val="20"/>
          <w:szCs w:val="20"/>
        </w:rPr>
        <w:t>armácia Básica Municipal através da Secretaria Municipal de Saúde, deste município</w:t>
      </w:r>
      <w:bookmarkEnd w:id="1"/>
      <w:r>
        <w:rPr>
          <w:rFonts w:eastAsia="Batang;바탕" w:cs="Arial" w:ascii="Verdana" w:hAnsi="Verdana"/>
          <w:color w:val="000000"/>
          <w:kern w:val="2"/>
          <w:sz w:val="20"/>
          <w:szCs w:val="20"/>
          <w:lang w:eastAsia="en-US" w:bidi="pt-BR"/>
        </w:rPr>
        <w:t>, conforme c</w:t>
      </w:r>
      <w:r>
        <w:rPr>
          <w:rFonts w:cs="Arial" w:ascii="Verdana" w:hAnsi="Verdana"/>
          <w:sz w:val="20"/>
          <w:szCs w:val="20"/>
        </w:rPr>
        <w:t>ondições e exigências estabelecidas neste Edital e seus anexos.</w:t>
      </w:r>
    </w:p>
    <w:p>
      <w:pPr>
        <w:pStyle w:val="Normal"/>
        <w:spacing w:lineRule="auto" w:line="240" w:before="57" w:after="57"/>
        <w:jc w:val="both"/>
        <w:rPr>
          <w:rFonts w:ascii="Verdana" w:hAnsi="Verdana"/>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before="57" w:after="57"/>
        <w:jc w:val="both"/>
        <w:rPr>
          <w:rFonts w:ascii="Verdana" w:hAnsi="Verdana" w:cs="Arial"/>
          <w:sz w:val="20"/>
          <w:szCs w:val="20"/>
        </w:rPr>
      </w:pPr>
      <w:r>
        <w:rPr>
          <w:rFonts w:cs="Arial"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rPr>
        <w:t>DO CREDENCIAMENTO</w:t>
      </w:r>
    </w:p>
    <w:p>
      <w:pPr>
        <w:pStyle w:val="Default"/>
        <w:spacing w:lineRule="auto" w:line="240" w:before="57" w:after="57"/>
        <w:jc w:val="both"/>
        <w:rPr>
          <w:rFonts w:ascii="Verdana" w:hAnsi="Verdana"/>
        </w:rPr>
      </w:pPr>
      <w:r>
        <w:rPr>
          <w:rFonts w:ascii="Verdana" w:hAnsi="Verdana"/>
          <w:sz w:val="20"/>
          <w:szCs w:val="20"/>
        </w:rPr>
        <w:t xml:space="preserve">2.1.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57" w:after="57"/>
        <w:jc w:val="both"/>
        <w:rPr>
          <w:rFonts w:ascii="Verdana" w:hAnsi="Verdana"/>
        </w:rPr>
      </w:pPr>
      <w:r>
        <w:rPr>
          <w:rFonts w:ascii="Verdana" w:hAnsi="Verdana"/>
          <w:sz w:val="20"/>
          <w:szCs w:val="20"/>
        </w:rPr>
        <w:t xml:space="preserve">2.2.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57" w:after="57"/>
        <w:jc w:val="both"/>
        <w:rPr>
          <w:rFonts w:ascii="Verdana" w:hAnsi="Verdana"/>
        </w:rPr>
      </w:pPr>
      <w:r>
        <w:rPr>
          <w:rFonts w:ascii="Verdana" w:hAnsi="Verdana"/>
          <w:sz w:val="20"/>
          <w:szCs w:val="20"/>
        </w:rPr>
        <w:t xml:space="preserve">2.3. É de exclusiva responsabilidade do usuário o sigilo da senha, bem como seu uso em qualquer transação efetuada. </w:t>
      </w:r>
    </w:p>
    <w:p>
      <w:pPr>
        <w:pStyle w:val="Default"/>
        <w:spacing w:lineRule="auto" w:line="240" w:before="57" w:after="57"/>
        <w:jc w:val="both"/>
        <w:rPr>
          <w:rFonts w:ascii="Verdana" w:hAnsi="Verdana"/>
        </w:rPr>
      </w:pPr>
      <w:r>
        <w:rPr>
          <w:rFonts w:ascii="Verdana" w:hAnsi="Verdana"/>
          <w:sz w:val="20"/>
          <w:szCs w:val="20"/>
        </w:rPr>
        <w:t xml:space="preserve">2.4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before="57" w:after="57"/>
        <w:jc w:val="both"/>
        <w:rPr>
          <w:rFonts w:ascii="Verdana" w:hAnsi="Verdana"/>
        </w:rPr>
      </w:pPr>
      <w:r>
        <w:rPr>
          <w:rFonts w:cs="Arial" w:ascii="Verdana" w:hAnsi="Verdana"/>
          <w:bCs/>
          <w:iCs/>
          <w:sz w:val="20"/>
          <w:szCs w:val="20"/>
        </w:rPr>
        <w:t>2.5.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57" w:after="57"/>
        <w:jc w:val="both"/>
        <w:rPr>
          <w:rFonts w:ascii="Verdana" w:hAnsi="Verdana"/>
        </w:rPr>
      </w:pPr>
      <w:r>
        <w:rPr>
          <w:rFonts w:cs="Arial" w:ascii="Verdana" w:hAnsi="Verdana"/>
          <w:bCs/>
          <w:iCs/>
          <w:sz w:val="20"/>
          <w:szCs w:val="20"/>
        </w:rPr>
        <w:t>2.6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57" w:after="57"/>
        <w:jc w:val="both"/>
        <w:rPr>
          <w:rFonts w:ascii="Verdana" w:hAnsi="Verdana"/>
        </w:rPr>
      </w:pPr>
      <w:r>
        <w:rPr/>
      </w:r>
    </w:p>
    <w:p>
      <w:pPr>
        <w:pStyle w:val="Nivel01"/>
        <w:numPr>
          <w:ilvl w:val="0"/>
          <w:numId w:val="2"/>
        </w:numPr>
        <w:tabs>
          <w:tab w:val="clear" w:pos="567"/>
          <w:tab w:val="left" w:pos="284" w:leader="none"/>
        </w:tabs>
        <w:spacing w:lineRule="auto" w:line="240" w:before="57" w:after="57"/>
        <w:ind w:hanging="0" w:left="0"/>
        <w:rPr>
          <w:rFonts w:ascii="Verdana" w:hAnsi="Verdana"/>
        </w:rPr>
      </w:pPr>
      <w:r>
        <w:rPr>
          <w:rFonts w:cs="Arial" w:ascii="Verdana" w:hAnsi="Verdana"/>
        </w:rPr>
        <w:t>DA PARTICIPAÇÃO NO PREGÃO.</w:t>
      </w:r>
    </w:p>
    <w:p>
      <w:pPr>
        <w:pStyle w:val="Normal"/>
        <w:spacing w:lineRule="auto" w:line="240" w:before="57" w:after="57"/>
        <w:jc w:val="both"/>
        <w:rPr>
          <w:rFonts w:ascii="Verdana" w:hAnsi="Verdana"/>
        </w:rPr>
      </w:pPr>
      <w:r>
        <w:rPr>
          <w:rFonts w:cs="Arial" w:ascii="Verdana" w:hAnsi="Verdana"/>
          <w:bCs/>
          <w:color w:val="000000"/>
          <w:sz w:val="20"/>
          <w:szCs w:val="20"/>
        </w:rPr>
        <w:t>3.1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rPr>
      </w:pPr>
      <w:r>
        <w:rPr>
          <w:rFonts w:cs="Arial" w:ascii="Verdana" w:hAnsi="Verdana"/>
          <w:bCs/>
          <w:iCs/>
          <w:color w:val="000000"/>
          <w:sz w:val="20"/>
          <w:szCs w:val="20"/>
        </w:rPr>
        <w:t>3.2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rFonts w:ascii="Verdana" w:hAnsi="Verdana"/>
        </w:rPr>
      </w:pPr>
      <w:r>
        <w:rPr>
          <w:rFonts w:cs="Arial" w:ascii="Verdana" w:hAnsi="Verdana"/>
          <w:bCs/>
          <w:iCs/>
          <w:color w:val="000000"/>
          <w:sz w:val="20"/>
          <w:szCs w:val="20"/>
        </w:rPr>
        <w:t>3.2.1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57" w:after="57"/>
        <w:jc w:val="both"/>
        <w:rPr/>
      </w:pPr>
      <w:r>
        <w:rPr>
          <w:rFonts w:cs="Arial" w:ascii="Verdana" w:hAnsi="Verdana"/>
          <w:iCs/>
          <w:color w:val="000000"/>
          <w:sz w:val="20"/>
          <w:szCs w:val="20"/>
          <w:shd w:fill="FFFF00" w:val="clear"/>
        </w:rPr>
        <w:t xml:space="preserve">3.2.2 </w:t>
      </w:r>
      <w:r>
        <w:rPr>
          <w:rFonts w:cs="Arial" w:ascii="Verdana" w:hAnsi="Verdana"/>
          <w:bCs/>
          <w:iCs/>
          <w:color w:val="000000"/>
          <w:sz w:val="20"/>
          <w:szCs w:val="20"/>
          <w:shd w:fill="FFFF00" w:val="clear"/>
        </w:rPr>
        <w:t xml:space="preserve">Poderão participar da licitação as empresas interessadas qualificadas, na forma da Lei Complementar nº 123/2006, </w:t>
      </w:r>
      <w:r>
        <w:rPr>
          <w:rFonts w:cs="Arial" w:ascii="Verdana" w:hAnsi="Verdana"/>
          <w:b/>
          <w:bCs/>
          <w:iCs/>
          <w:color w:val="000000"/>
          <w:sz w:val="20"/>
          <w:szCs w:val="20"/>
          <w:u w:val="single"/>
          <w:shd w:fill="FFFF00" w:val="clear"/>
        </w:rPr>
        <w:t>como microempresa (ME) ou empresa de pequeno porte (EPP)</w:t>
      </w:r>
      <w:r>
        <w:rPr>
          <w:rFonts w:cs="Arial" w:ascii="Verdana" w:hAnsi="Verdana"/>
          <w:bCs/>
          <w:iCs/>
          <w:color w:val="000000"/>
          <w:sz w:val="20"/>
          <w:szCs w:val="20"/>
          <w:shd w:fill="FFFF00" w:val="clear"/>
        </w:rPr>
        <w:t xml:space="preserve"> 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shd w:fill="FFFF00" w:val="clear"/>
          </w:rPr>
          <w:t>www.portaldecompraspublicas.com.br</w:t>
        </w:r>
      </w:hyperlink>
      <w:r>
        <w:rPr>
          <w:rStyle w:val="InternetLink"/>
          <w:rFonts w:cs="Arial" w:ascii="Verdana" w:hAnsi="Verdana"/>
          <w:b/>
          <w:bCs/>
          <w:iCs/>
          <w:sz w:val="20"/>
          <w:szCs w:val="20"/>
          <w:shd w:fill="FFFF00" w:val="clear"/>
        </w:rPr>
        <w:t>.</w:t>
      </w:r>
      <w:r>
        <w:rPr>
          <w:rFonts w:cs="Arial" w:ascii="Verdana" w:hAnsi="Verdana"/>
          <w:bCs/>
          <w:iCs/>
          <w:color w:val="000000"/>
          <w:sz w:val="20"/>
          <w:szCs w:val="20"/>
          <w:shd w:fill="FFFF00" w:val="clear"/>
        </w:rPr>
        <w:t xml:space="preserve"> </w:t>
      </w:r>
    </w:p>
    <w:p>
      <w:pPr>
        <w:pStyle w:val="Normal"/>
        <w:snapToGrid w:val="false"/>
        <w:spacing w:lineRule="auto" w:line="240" w:before="57" w:after="57"/>
        <w:jc w:val="both"/>
        <w:rPr>
          <w:rFonts w:ascii="Verdana" w:hAnsi="Verdana"/>
        </w:rPr>
      </w:pPr>
      <w:r>
        <w:rPr>
          <w:rFonts w:cs="Arial" w:ascii="Verdana" w:hAnsi="Verdana"/>
          <w:bCs/>
          <w:color w:val="000000"/>
          <w:sz w:val="20"/>
          <w:szCs w:val="20"/>
        </w:rPr>
        <w:t>3.3 Não poderão participar desta licitação os interessados:</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sz w:val="20"/>
          <w:szCs w:val="20"/>
        </w:rPr>
        <w:t>3.3.1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sz w:val="20"/>
          <w:szCs w:val="20"/>
        </w:rPr>
        <w:t>3.3.2 Que não atendam às condições deste Edital e seu(s) anexo(s);</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color w:val="000000"/>
          <w:sz w:val="20"/>
          <w:szCs w:val="20"/>
        </w:rPr>
        <w:t>3.3.3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20"/>
          <w:tab w:val="left" w:pos="1440" w:leader="none"/>
        </w:tabs>
        <w:snapToGrid w:val="false"/>
        <w:spacing w:lineRule="auto" w:line="240" w:before="57" w:after="57"/>
        <w:jc w:val="both"/>
        <w:rPr>
          <w:rFonts w:ascii="Verdana" w:hAnsi="Verdana"/>
        </w:rPr>
      </w:pPr>
      <w:r>
        <w:rPr>
          <w:rFonts w:eastAsia="Arial Unicode MS" w:cs="Arial" w:ascii="Verdana" w:hAnsi="Verdana"/>
          <w:color w:val="000000"/>
          <w:sz w:val="20"/>
          <w:szCs w:val="20"/>
        </w:rPr>
        <w:t>3.3.4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3.3.5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sz w:val="20"/>
          <w:szCs w:val="20"/>
        </w:rPr>
        <w:t>3.3.6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3.3.7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3.3.8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rPr>
      </w:pPr>
      <w:r>
        <w:rPr>
          <w:rFonts w:cs="Arial" w:ascii="Verdana" w:hAnsi="Verdana"/>
          <w:color w:val="000000"/>
          <w:sz w:val="20"/>
          <w:szCs w:val="20"/>
        </w:rPr>
        <w:t>3.3.9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57" w:after="57"/>
        <w:jc w:val="both"/>
        <w:rPr>
          <w:rFonts w:ascii="Verdana" w:hAnsi="Verdana"/>
        </w:rPr>
      </w:pPr>
      <w:r>
        <w:rPr>
          <w:rFonts w:cs="Arial" w:ascii="Verdana" w:hAnsi="Verdana"/>
          <w:bCs/>
          <w:color w:val="000000"/>
          <w:sz w:val="20"/>
          <w:szCs w:val="20"/>
        </w:rPr>
        <w:t>3.3.10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3.3.11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57" w:after="57"/>
        <w:ind w:hanging="0" w:left="0"/>
        <w:rPr>
          <w:rFonts w:ascii="Verdana" w:hAnsi="Verdana"/>
        </w:rPr>
      </w:pPr>
      <w:r>
        <w:rPr>
          <w:rFonts w:eastAsia="Segoe UI" w:cs="Arial" w:ascii="Verdana" w:hAnsi="Verdana"/>
          <w:bCs/>
          <w:color w:val="000000"/>
        </w:rPr>
        <w:t>3.4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57" w:after="57"/>
        <w:ind w:hanging="0" w:left="0"/>
        <w:rPr>
          <w:rFonts w:ascii="Verdana" w:hAnsi="Verdana"/>
        </w:rPr>
      </w:pPr>
      <w:bookmarkStart w:id="7" w:name="art14§2"/>
      <w:bookmarkEnd w:id="7"/>
      <w:r>
        <w:rPr>
          <w:rFonts w:eastAsia="Segoe UI" w:cs="Arial" w:ascii="Verdana" w:hAnsi="Verdana"/>
          <w:bCs/>
          <w:color w:val="000000"/>
        </w:rPr>
        <w:t>3.5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57" w:after="57"/>
        <w:ind w:hanging="0" w:left="0"/>
        <w:rPr>
          <w:rFonts w:ascii="Verdana" w:hAnsi="Verdana"/>
        </w:rPr>
      </w:pPr>
      <w:bookmarkStart w:id="8" w:name="art14§3"/>
      <w:bookmarkEnd w:id="8"/>
      <w:r>
        <w:rPr>
          <w:rFonts w:eastAsia="Segoe UI" w:cs="Arial" w:ascii="Verdana" w:hAnsi="Verdana"/>
          <w:bCs/>
          <w:color w:val="000000"/>
        </w:rPr>
        <w:t>3.6 Equiparam-se aos autores do projeto as empresas integrantes do mesmo grupo econômico.</w:t>
      </w:r>
    </w:p>
    <w:p>
      <w:pPr>
        <w:pStyle w:val="Nivel2"/>
        <w:numPr>
          <w:ilvl w:val="0"/>
          <w:numId w:val="0"/>
        </w:numPr>
        <w:spacing w:lineRule="auto" w:line="240" w:before="57" w:after="57"/>
        <w:ind w:hanging="0" w:left="0"/>
        <w:rPr>
          <w:rFonts w:ascii="Verdana" w:hAnsi="Verdana"/>
        </w:rPr>
      </w:pPr>
      <w:bookmarkStart w:id="9" w:name="art14§4"/>
      <w:bookmarkEnd w:id="9"/>
      <w:r>
        <w:rPr>
          <w:rFonts w:eastAsia="Segoe UI" w:cs="Arial" w:ascii="Verdana" w:hAnsi="Verdana"/>
          <w:bCs/>
          <w:color w:val="000000"/>
        </w:rPr>
        <w:t>3.7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57" w:after="57"/>
        <w:ind w:hanging="0" w:left="0"/>
        <w:rPr/>
      </w:pPr>
      <w:bookmarkStart w:id="10" w:name="art14§5"/>
      <w:bookmarkEnd w:id="10"/>
      <w:r>
        <w:rPr>
          <w:rFonts w:eastAsia="Segoe UI" w:cs="Arial" w:ascii="Verdana" w:hAnsi="Verdana"/>
          <w:bCs/>
          <w:color w:val="000000"/>
        </w:rPr>
        <w:t xml:space="preserve">3.8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57" w:after="57"/>
        <w:ind w:hanging="0" w:left="0"/>
        <w:rPr>
          <w:rFonts w:ascii="Verdana" w:hAnsi="Verdana"/>
        </w:rPr>
      </w:pPr>
      <w:r>
        <w:rPr>
          <w:rFonts w:eastAsia="Segoe UI" w:cs="Arial" w:ascii="Verdana" w:hAnsi="Verdana"/>
          <w:bCs/>
          <w:color w:val="000000"/>
        </w:rPr>
        <w:t>3.9 A vedação de que trata o item 3.3.9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57" w:after="57"/>
        <w:ind w:hanging="0" w:left="0"/>
        <w:rPr>
          <w:rFonts w:ascii="Verdana" w:hAnsi="Verdana" w:cs="Tahoma"/>
        </w:rPr>
      </w:pPr>
      <w:r>
        <w:rPr>
          <w:rFonts w:cs="Tahoma" w:ascii="Verdana" w:hAnsi="Verdana"/>
        </w:rPr>
      </w:r>
    </w:p>
    <w:p>
      <w:pPr>
        <w:pStyle w:val="Nivel01"/>
        <w:numPr>
          <w:ilvl w:val="0"/>
          <w:numId w:val="2"/>
        </w:numPr>
        <w:spacing w:lineRule="auto" w:line="240"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5"/>
        </w:numPr>
        <w:tabs>
          <w:tab w:val="clear" w:pos="720"/>
          <w:tab w:val="left" w:pos="450" w:leader="none"/>
          <w:tab w:val="left" w:pos="1450" w:leader="none"/>
        </w:tabs>
        <w:spacing w:lineRule="auto" w:line="240" w:before="57" w:after="57"/>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6"/>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7"/>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8"/>
        </w:numPr>
        <w:tabs>
          <w:tab w:val="clear" w:pos="720"/>
          <w:tab w:val="left" w:pos="450" w:leader="none"/>
        </w:tabs>
        <w:spacing w:lineRule="auto" w:line="240" w:before="57" w:after="57"/>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9"/>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0"/>
        </w:numPr>
        <w:tabs>
          <w:tab w:val="clear" w:pos="720"/>
          <w:tab w:val="left" w:pos="450" w:leader="none"/>
        </w:tabs>
        <w:spacing w:lineRule="auto" w:line="240" w:before="57" w:after="57"/>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1"/>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2"/>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57" w:after="57"/>
        <w:ind w:hanging="0" w:left="0"/>
        <w:jc w:val="both"/>
        <w:rPr>
          <w:rFonts w:ascii="Verdana" w:hAnsi="Verdana"/>
        </w:rPr>
      </w:pPr>
      <w:r>
        <w:rPr/>
      </w:r>
    </w:p>
    <w:p>
      <w:pPr>
        <w:pStyle w:val="Nivel01"/>
        <w:numPr>
          <w:ilvl w:val="0"/>
          <w:numId w:val="2"/>
        </w:numPr>
        <w:spacing w:lineRule="auto" w:line="240"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20"/>
          <w:tab w:val="left" w:pos="617" w:leader="none"/>
          <w:tab w:val="left" w:pos="733" w:leader="none"/>
        </w:tabs>
        <w:snapToGrid w:val="false"/>
        <w:spacing w:lineRule="auto" w:line="240" w:before="57" w:after="57"/>
        <w:ind w:hanging="0" w:left="0"/>
        <w:jc w:val="both"/>
        <w:rPr>
          <w:rFonts w:ascii="Verdana" w:hAnsi="Verdana"/>
        </w:rPr>
      </w:pPr>
      <w:r>
        <w:rPr>
          <w:rFonts w:cs="Arial" w:ascii="Verdana" w:hAnsi="Verdana"/>
          <w:iCs/>
          <w:color w:themeColor="text1" w:val="000000"/>
          <w:sz w:val="20"/>
          <w:szCs w:val="20"/>
        </w:rPr>
        <w:t>Valor unitário e total do item;</w:t>
      </w:r>
    </w:p>
    <w:p>
      <w:pPr>
        <w:pStyle w:val="Normal"/>
        <w:numPr>
          <w:ilvl w:val="0"/>
          <w:numId w:val="0"/>
        </w:numPr>
        <w:tabs>
          <w:tab w:val="clear" w:pos="720"/>
          <w:tab w:val="left" w:pos="617" w:leader="none"/>
          <w:tab w:val="left" w:pos="1440" w:leader="none"/>
        </w:tabs>
        <w:snapToGrid w:val="false"/>
        <w:spacing w:lineRule="auto" w:line="240" w:before="57" w:after="57"/>
        <w:ind w:hanging="0" w:left="0"/>
        <w:jc w:val="both"/>
        <w:rPr>
          <w:rFonts w:ascii="Verdana" w:hAnsi="Verdana"/>
        </w:rPr>
      </w:pPr>
      <w:r>
        <w:rPr>
          <w:rFonts w:cs="Arial" w:ascii="Verdana" w:hAnsi="Verdana"/>
          <w:iCs/>
          <w:color w:themeColor="text1" w:val="000000"/>
          <w:sz w:val="20"/>
          <w:szCs w:val="20"/>
        </w:rPr>
        <w:t>5.1.1.1.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20"/>
          <w:tab w:val="left" w:pos="617" w:leader="none"/>
          <w:tab w:val="left" w:pos="683" w:leader="none"/>
        </w:tabs>
        <w:snapToGrid w:val="false"/>
        <w:spacing w:lineRule="auto" w:line="240" w:before="57" w:after="57"/>
        <w:ind w:hanging="0" w:left="0"/>
        <w:jc w:val="both"/>
        <w:rPr>
          <w:rFonts w:ascii="Verdana" w:hAnsi="Verdana"/>
        </w:rPr>
      </w:pPr>
      <w:r>
        <w:rPr>
          <w:rFonts w:cs="Arial" w:ascii="Verdana" w:hAnsi="Verdana"/>
          <w:bCs/>
          <w:iCs/>
          <w:color w:val="000000"/>
          <w:sz w:val="20"/>
          <w:szCs w:val="20"/>
        </w:rPr>
        <w:t>Marca;</w:t>
      </w:r>
    </w:p>
    <w:p>
      <w:pPr>
        <w:pStyle w:val="Normal"/>
        <w:numPr>
          <w:ilvl w:val="2"/>
          <w:numId w:val="2"/>
        </w:numPr>
        <w:tabs>
          <w:tab w:val="clear" w:pos="720"/>
          <w:tab w:val="left" w:pos="617" w:leader="none"/>
          <w:tab w:val="left" w:pos="683" w:leader="none"/>
        </w:tabs>
        <w:snapToGrid w:val="false"/>
        <w:spacing w:lineRule="auto" w:line="240" w:before="57" w:after="57"/>
        <w:ind w:hanging="0" w:left="0"/>
        <w:jc w:val="both"/>
        <w:rPr>
          <w:rFonts w:ascii="Verdana" w:hAnsi="Verdana"/>
        </w:rPr>
      </w:pPr>
      <w:r>
        <w:rPr>
          <w:rFonts w:cs="Arial" w:ascii="Verdana" w:hAnsi="Verdana"/>
          <w:bCs/>
          <w:iCs/>
          <w:color w:val="000000"/>
          <w:sz w:val="20"/>
          <w:szCs w:val="20"/>
        </w:rPr>
        <w:t>Fabricante;</w:t>
      </w:r>
    </w:p>
    <w:p>
      <w:pPr>
        <w:pStyle w:val="Normal"/>
        <w:numPr>
          <w:ilvl w:val="2"/>
          <w:numId w:val="2"/>
        </w:numPr>
        <w:tabs>
          <w:tab w:val="clear" w:pos="720"/>
          <w:tab w:val="left" w:pos="617" w:leader="none"/>
          <w:tab w:val="left" w:pos="683" w:leader="none"/>
        </w:tabs>
        <w:snapToGrid w:val="false"/>
        <w:spacing w:lineRule="auto" w:line="240" w:before="57" w:after="57"/>
        <w:ind w:hanging="0" w:left="0"/>
        <w:jc w:val="both"/>
        <w:rPr>
          <w:rFonts w:ascii="Verdana" w:hAnsi="Verdana"/>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20"/>
          <w:tab w:val="left" w:pos="450" w:leader="none"/>
        </w:tabs>
        <w:spacing w:lineRule="auto" w:line="240" w:before="57" w:after="57"/>
        <w:ind w:hanging="0" w:left="0"/>
        <w:contextualSpacing w:val="false"/>
        <w:jc w:val="both"/>
        <w:rPr>
          <w:rFonts w:ascii="Verdana" w:hAnsi="Verdana"/>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20"/>
          <w:tab w:val="left" w:pos="450" w:leader="none"/>
        </w:tabs>
        <w:spacing w:lineRule="auto" w:line="240" w:before="57" w:after="57"/>
        <w:ind w:hanging="0" w:left="0"/>
        <w:contextualSpacing w:val="false"/>
        <w:jc w:val="both"/>
        <w:rPr>
          <w:rFonts w:ascii="Verdana" w:hAnsi="Verdana"/>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20"/>
          <w:tab w:val="left" w:pos="4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20"/>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20"/>
          <w:tab w:val="left" w:pos="4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20"/>
          <w:tab w:val="left" w:pos="4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numPr>
          <w:ilvl w:val="0"/>
          <w:numId w:val="0"/>
        </w:numPr>
        <w:spacing w:lineRule="auto" w:line="240" w:before="57" w:after="57"/>
        <w:ind w:hanging="0" w:left="0"/>
        <w:contextualSpacing w:val="false"/>
        <w:jc w:val="both"/>
        <w:rPr>
          <w:rFonts w:ascii="Verdana" w:hAnsi="Verdana"/>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6.3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6.4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 xml:space="preserve">6.5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 xml:space="preserve">6.5.1 O lance deverá ser ofertado pelo </w:t>
      </w:r>
      <w:r>
        <w:rPr>
          <w:rFonts w:cs="Arial" w:ascii="Verdana" w:hAnsi="Verdana"/>
          <w:iCs/>
          <w:color w:val="000000"/>
          <w:sz w:val="20"/>
          <w:szCs w:val="20"/>
        </w:rPr>
        <w:t>maior percentual de desconto</w:t>
      </w:r>
      <w:r>
        <w:rPr>
          <w:rFonts w:cs="Arial" w:ascii="Verdana" w:hAnsi="Verdana"/>
          <w:b/>
          <w:bCs/>
          <w:color w:val="000000"/>
          <w:sz w:val="20"/>
          <w:szCs w:val="20"/>
        </w:rPr>
        <w:t>.</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6.6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6.7 O licitante somente poderá oferecer lance de valor superior ao último por ele ofertado e registrado pelo sistema.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6.8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rFonts w:ascii="Verdana" w:hAnsi="Verdana"/>
        </w:rPr>
      </w:pPr>
      <w:r>
        <w:rPr>
          <w:rFonts w:cs="Arial" w:ascii="Verdana" w:hAnsi="Verdana"/>
          <w:b w:val="false"/>
          <w:bCs w:val="false"/>
          <w:sz w:val="20"/>
          <w:szCs w:val="20"/>
        </w:rPr>
        <w:t>6.9</w:t>
      </w:r>
      <w:r>
        <w:rPr>
          <w:rFonts w:cs="Arial" w:ascii="Verdana" w:hAnsi="Verdana"/>
          <w:sz w:val="20"/>
          <w:szCs w:val="20"/>
        </w:rPr>
        <w:t xml:space="preserve">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rFonts w:ascii="Verdana" w:hAnsi="Verdana"/>
        </w:rPr>
      </w:pPr>
      <w:r>
        <w:rPr>
          <w:rFonts w:ascii="Verdana" w:hAnsi="Verdana"/>
          <w:b w:val="false"/>
          <w:bCs w:val="false"/>
          <w:sz w:val="20"/>
          <w:szCs w:val="20"/>
        </w:rPr>
        <w:t>6.10</w:t>
      </w:r>
      <w:r>
        <w:rPr>
          <w:rFonts w:ascii="Verdana" w:hAnsi="Verdana"/>
          <w:sz w:val="20"/>
          <w:szCs w:val="20"/>
        </w:rPr>
        <w:t xml:space="preserve">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jc w:val="both"/>
        <w:rPr>
          <w:rFonts w:ascii="Verdana" w:hAnsi="Verdana"/>
        </w:rPr>
      </w:pPr>
      <w:r>
        <w:rPr>
          <w:rFonts w:ascii="Verdana" w:hAnsi="Verdana"/>
          <w:b w:val="false"/>
          <w:bCs w:val="false"/>
          <w:sz w:val="20"/>
          <w:szCs w:val="20"/>
        </w:rPr>
        <w:t>6.11</w:t>
      </w:r>
      <w:r>
        <w:rPr>
          <w:rFonts w:ascii="Verdana" w:hAnsi="Verdana"/>
          <w:sz w:val="20"/>
          <w:szCs w:val="20"/>
        </w:rPr>
        <w:t xml:space="preserve"> 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rFonts w:ascii="Verdana" w:hAnsi="Verdana"/>
        </w:rPr>
      </w:pPr>
      <w:r>
        <w:rPr>
          <w:rFonts w:ascii="Verdana" w:hAnsi="Verdana"/>
          <w:b w:val="false"/>
          <w:bCs w:val="false"/>
          <w:sz w:val="20"/>
          <w:szCs w:val="20"/>
        </w:rPr>
        <w:t>6.12</w:t>
      </w:r>
      <w:r>
        <w:rPr>
          <w:rFonts w:ascii="Verdana" w:hAnsi="Verdana"/>
          <w:sz w:val="20"/>
          <w:szCs w:val="20"/>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rPr>
      </w:pPr>
      <w:r>
        <w:rPr>
          <w:rFonts w:ascii="Verdana" w:hAnsi="Verdana"/>
          <w:b w:val="false"/>
          <w:bCs w:val="false"/>
          <w:sz w:val="20"/>
          <w:szCs w:val="20"/>
        </w:rPr>
        <w:t>6.13</w:t>
      </w:r>
      <w:r>
        <w:rPr>
          <w:rFonts w:ascii="Verdana" w:hAnsi="Verdana"/>
          <w:sz w:val="20"/>
          <w:szCs w:val="20"/>
        </w:rPr>
        <w:t xml:space="preserve"> Após o reinício previsto no item supra, os licitantes serão convocados para apresentar lances intermediários.</w:t>
      </w:r>
    </w:p>
    <w:p>
      <w:pPr>
        <w:pStyle w:val="Normal"/>
        <w:spacing w:lineRule="auto" w:line="240" w:before="57" w:after="57"/>
        <w:jc w:val="both"/>
        <w:rPr>
          <w:rFonts w:ascii="Verdana" w:hAnsi="Verdana"/>
        </w:rPr>
      </w:pPr>
      <w:r>
        <w:rPr>
          <w:rFonts w:ascii="Verdana" w:hAnsi="Verdana"/>
          <w:b w:val="false"/>
          <w:bCs w:val="false"/>
          <w:sz w:val="20"/>
          <w:szCs w:val="20"/>
        </w:rPr>
        <w:t>6.11</w:t>
      </w:r>
      <w:r>
        <w:rPr>
          <w:rFonts w:ascii="Verdana" w:hAnsi="Verdana"/>
          <w:sz w:val="20"/>
          <w:szCs w:val="20"/>
        </w:rPr>
        <w:t>. Após o término dos prazos estabelecidos nos itens anteriores, o sistema ordenará os lances segundo a ordem crescente de valores.</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6.13</w:t>
      </w:r>
      <w:r>
        <w:rPr>
          <w:rFonts w:cs="Arial" w:ascii="Verdana" w:hAnsi="Verdana"/>
          <w:color w:val="000000"/>
          <w:sz w:val="20"/>
          <w:szCs w:val="20"/>
        </w:rPr>
        <w:t xml:space="preserve"> Não serão aceitos dois ou mais lances de mesmo valor, prevalecendo aquele que for recebido e registrado em primeiro lugar.</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6.14</w:t>
      </w:r>
      <w:r>
        <w:rPr>
          <w:rFonts w:cs="Arial" w:ascii="Verdana" w:hAnsi="Verdana"/>
          <w:color w:val="000000"/>
          <w:sz w:val="20"/>
          <w:szCs w:val="20"/>
        </w:rPr>
        <w:t xml:space="preserve">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6.15</w:t>
      </w:r>
      <w:r>
        <w:rPr>
          <w:rFonts w:cs="Arial" w:ascii="Verdana" w:hAnsi="Verdana"/>
          <w:color w:val="000000"/>
          <w:sz w:val="20"/>
          <w:szCs w:val="20"/>
        </w:rPr>
        <w:t xml:space="preserve">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6.16</w:t>
      </w:r>
      <w:r>
        <w:rPr>
          <w:rFonts w:cs="Arial" w:ascii="Verdana" w:hAnsi="Verdana"/>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6.17</w:t>
      </w:r>
      <w:r>
        <w:rPr>
          <w:rFonts w:cs="Arial" w:ascii="Verdana" w:hAnsi="Verdana"/>
          <w:color w:val="000000"/>
          <w:sz w:val="20"/>
          <w:szCs w:val="20"/>
        </w:rPr>
        <w:t xml:space="preserve"> O Critério de julgamento adotado será o de maior desconto ofertado, conforme definido neste Edital e seus anexos.</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6.18</w:t>
      </w:r>
      <w:r>
        <w:rPr>
          <w:rFonts w:cs="Arial" w:ascii="Verdana" w:hAnsi="Verdana"/>
          <w:color w:val="000000"/>
          <w:sz w:val="20"/>
          <w:szCs w:val="20"/>
        </w:rPr>
        <w:t xml:space="preserve"> Caso o licitante não apresente lances, concorrerá com o valor de sua proposta.</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6.19</w:t>
      </w:r>
      <w:r>
        <w:rPr>
          <w:rFonts w:cs="Arial" w:ascii="Verdana" w:hAnsi="Verdana"/>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6.20</w:t>
      </w:r>
      <w:r>
        <w:rPr>
          <w:rFonts w:cs="Arial" w:ascii="Verdana" w:hAnsi="Verdana"/>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6.21</w:t>
      </w:r>
      <w:r>
        <w:rPr>
          <w:rFonts w:cs="Arial" w:ascii="Verdana" w:hAnsi="Verdana"/>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6.22</w:t>
      </w:r>
      <w:r>
        <w:rPr>
          <w:rFonts w:cs="Arial" w:ascii="Verdana" w:hAnsi="Verdana"/>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6.23</w:t>
      </w:r>
      <w:r>
        <w:rPr>
          <w:rFonts w:cs="Arial" w:ascii="Verdana" w:hAnsi="Verdana"/>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6.24</w:t>
      </w:r>
      <w:r>
        <w:rPr>
          <w:rFonts w:cs="Arial" w:ascii="Verdana" w:hAnsi="Verdana"/>
          <w:color w:val="000000"/>
          <w:sz w:val="20"/>
          <w:szCs w:val="20"/>
        </w:rPr>
        <w:t xml:space="preserve">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6.25</w:t>
      </w:r>
      <w:r>
        <w:rPr>
          <w:rFonts w:cs="Arial" w:ascii="Verdana" w:hAnsi="Verdana"/>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ind w:firstLine="567"/>
        <w:jc w:val="both"/>
        <w:rPr>
          <w:rFonts w:ascii="Verdana" w:hAnsi="Verdana"/>
        </w:rPr>
      </w:pPr>
      <w:r>
        <w:rPr>
          <w:rFonts w:cs="Arial" w:ascii="Verdana" w:hAnsi="Verdana"/>
          <w:b/>
          <w:bCs/>
          <w:i/>
          <w:iCs/>
          <w:color w:val="000000"/>
          <w:sz w:val="20"/>
          <w:szCs w:val="20"/>
        </w:rPr>
        <w:t>6.25.1</w:t>
      </w:r>
      <w:r>
        <w:rPr>
          <w:rFonts w:cs="Arial" w:ascii="Verdana" w:hAnsi="Verdana"/>
          <w:color w:val="000000"/>
          <w:sz w:val="20"/>
          <w:szCs w:val="20"/>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ind w:firstLine="567"/>
        <w:jc w:val="both"/>
        <w:rPr>
          <w:rFonts w:ascii="Verdana" w:hAnsi="Verdana"/>
        </w:rPr>
      </w:pPr>
      <w:r>
        <w:rPr>
          <w:rFonts w:cs="Arial" w:ascii="Verdana" w:hAnsi="Verdana"/>
          <w:b/>
          <w:bCs/>
          <w:color w:val="000000"/>
          <w:sz w:val="20"/>
          <w:szCs w:val="20"/>
          <w:lang w:eastAsia="en-US"/>
        </w:rPr>
        <w:t>6.25.2</w:t>
      </w:r>
      <w:r>
        <w:rPr>
          <w:rFonts w:cs="Arial" w:ascii="Verdana" w:hAnsi="Verdana"/>
          <w:color w:val="000000"/>
          <w:sz w:val="20"/>
          <w:szCs w:val="20"/>
          <w:lang w:eastAsia="en-US"/>
        </w:rPr>
        <w:t xml:space="preserve"> Por empresas brasileiras;</w:t>
      </w:r>
    </w:p>
    <w:p>
      <w:pPr>
        <w:pStyle w:val="Normal"/>
        <w:spacing w:lineRule="auto" w:line="240" w:before="57" w:after="57"/>
        <w:ind w:firstLine="567"/>
        <w:jc w:val="both"/>
        <w:rPr>
          <w:rFonts w:ascii="Verdana" w:hAnsi="Verdana"/>
        </w:rPr>
      </w:pPr>
      <w:r>
        <w:rPr>
          <w:rFonts w:cs="Arial" w:ascii="Verdana" w:hAnsi="Verdana"/>
          <w:b/>
          <w:bCs/>
          <w:color w:val="000000"/>
          <w:sz w:val="20"/>
          <w:szCs w:val="20"/>
          <w:lang w:eastAsia="en-US"/>
        </w:rPr>
        <w:t>6.25.3</w:t>
      </w:r>
      <w:r>
        <w:rPr>
          <w:rFonts w:cs="Arial" w:ascii="Verdana" w:hAnsi="Verdana"/>
          <w:color w:val="000000"/>
          <w:sz w:val="20"/>
          <w:szCs w:val="20"/>
          <w:lang w:eastAsia="en-US"/>
        </w:rPr>
        <w:t xml:space="preserve"> Por empresas que invistam em pesquisa e no desenvolvimento de tecnologia no País;</w:t>
      </w:r>
    </w:p>
    <w:p>
      <w:pPr>
        <w:pStyle w:val="Normal"/>
        <w:spacing w:lineRule="auto" w:line="240" w:before="57" w:after="57"/>
        <w:ind w:firstLine="567"/>
        <w:jc w:val="both"/>
        <w:rPr/>
      </w:pPr>
      <w:r>
        <w:rPr>
          <w:rFonts w:cs="Arial" w:ascii="Verdana" w:hAnsi="Verdana"/>
          <w:b/>
          <w:bCs/>
          <w:color w:val="000000"/>
          <w:sz w:val="20"/>
          <w:szCs w:val="20"/>
          <w:lang w:eastAsia="en-US"/>
        </w:rPr>
        <w:t>6.25.4</w:t>
      </w:r>
      <w:r>
        <w:rPr>
          <w:rFonts w:cs="Arial" w:ascii="Verdana" w:hAnsi="Verdana"/>
          <w:color w:val="000000"/>
          <w:sz w:val="20"/>
          <w:szCs w:val="20"/>
          <w:lang w:eastAsia="en-US"/>
        </w:rPr>
        <w:t xml:space="preserve">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rPr>
      </w:pPr>
      <w:r>
        <w:rPr>
          <w:rFonts w:cs="Arial" w:ascii="Verdana" w:hAnsi="Verdana"/>
          <w:b w:val="false"/>
          <w:bCs w:val="false"/>
          <w:color w:val="000000"/>
          <w:sz w:val="20"/>
          <w:szCs w:val="20"/>
          <w:lang w:eastAsia="en-US"/>
        </w:rPr>
        <w:t>6.26</w:t>
      </w:r>
      <w:r>
        <w:rPr>
          <w:rFonts w:cs="Arial" w:ascii="Verdana" w:hAnsi="Verdana"/>
          <w:color w:val="000000"/>
          <w:sz w:val="20"/>
          <w:szCs w:val="20"/>
          <w:lang w:eastAsia="en-US"/>
        </w:rPr>
        <w:t xml:space="preserve">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rPr>
      </w:pPr>
      <w:r>
        <w:rPr>
          <w:rFonts w:cs="Arial" w:ascii="Verdana" w:hAnsi="Verdana"/>
          <w:b w:val="false"/>
          <w:bCs w:val="false"/>
          <w:color w:val="000000"/>
          <w:sz w:val="20"/>
          <w:szCs w:val="20"/>
        </w:rPr>
        <w:t>6.27</w:t>
      </w:r>
      <w:r>
        <w:rPr>
          <w:rFonts w:cs="Arial" w:ascii="Verdana" w:hAnsi="Verdana"/>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firstLine="567" w:left="0"/>
        <w:contextualSpacing w:val="false"/>
        <w:jc w:val="both"/>
        <w:rPr>
          <w:rFonts w:ascii="Verdana" w:hAnsi="Verdana"/>
        </w:rPr>
      </w:pPr>
      <w:r>
        <w:rPr>
          <w:rFonts w:cs="Arial" w:ascii="Verdana" w:hAnsi="Verdana"/>
          <w:b/>
          <w:bCs/>
          <w:i/>
          <w:iCs/>
          <w:color w:val="000000"/>
          <w:sz w:val="20"/>
          <w:szCs w:val="20"/>
          <w:lang w:eastAsia="en-US"/>
        </w:rPr>
        <w:t>6.27.1</w:t>
      </w:r>
      <w:r>
        <w:rPr>
          <w:rFonts w:cs="Arial" w:ascii="Verdana" w:hAnsi="Verdana"/>
          <w:color w:val="000000"/>
          <w:sz w:val="20"/>
          <w:szCs w:val="20"/>
          <w:lang w:eastAsia="en-US"/>
        </w:rPr>
        <w:t xml:space="preserve"> A negociação será realizada por meio do sistema, podendo ser acompanhada pelos demais licitantes.</w:t>
      </w:r>
    </w:p>
    <w:p>
      <w:pPr>
        <w:pStyle w:val="ListParagraph"/>
        <w:tabs>
          <w:tab w:val="clear" w:pos="720"/>
          <w:tab w:val="left" w:pos="-12" w:leader="none"/>
        </w:tabs>
        <w:spacing w:lineRule="auto" w:line="240" w:before="57" w:after="57"/>
        <w:ind w:firstLine="567" w:left="0"/>
        <w:contextualSpacing w:val="false"/>
        <w:jc w:val="both"/>
        <w:rPr>
          <w:rFonts w:ascii="Verdana" w:hAnsi="Verdana"/>
        </w:rPr>
      </w:pPr>
      <w:r>
        <w:rPr>
          <w:rFonts w:cs="Arial" w:ascii="Verdana" w:hAnsi="Verdana"/>
          <w:b/>
          <w:bCs/>
          <w:i/>
          <w:iCs/>
          <w:color w:val="000000"/>
          <w:sz w:val="20"/>
          <w:szCs w:val="20"/>
        </w:rPr>
        <w:t>6.27.2</w:t>
      </w:r>
      <w:r>
        <w:rPr>
          <w:rFonts w:cs="Arial" w:ascii="Verdana" w:hAnsi="Verdana"/>
          <w:color w:val="000000"/>
          <w:sz w:val="20"/>
          <w:szCs w:val="20"/>
        </w:rPr>
        <w:t xml:space="preserve">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40" w:before="57" w:after="57"/>
        <w:ind w:left="0"/>
        <w:contextualSpacing w:val="false"/>
        <w:jc w:val="both"/>
        <w:rPr>
          <w:rFonts w:ascii="Verdana" w:hAnsi="Verdana"/>
        </w:rPr>
      </w:pPr>
      <w:r>
        <w:rPr>
          <w:rFonts w:cs="Arial" w:ascii="Verdana" w:hAnsi="Verdana"/>
          <w:b w:val="false"/>
          <w:bCs w:val="false"/>
          <w:color w:val="000000"/>
          <w:sz w:val="20"/>
          <w:szCs w:val="20"/>
        </w:rPr>
        <w:t>6.28</w:t>
      </w:r>
      <w:r>
        <w:rPr>
          <w:rFonts w:cs="Arial" w:ascii="Verdana" w:hAnsi="Verdana"/>
          <w:color w:val="000000"/>
          <w:sz w:val="20"/>
          <w:szCs w:val="20"/>
        </w:rPr>
        <w:t xml:space="preserve"> Após a negociação do preço, o Pregoeiro iniciará a fase de aceitação e julgamento da proposta.</w:t>
      </w:r>
    </w:p>
    <w:p>
      <w:pPr>
        <w:pStyle w:val="ListParagraph"/>
        <w:tabs>
          <w:tab w:val="clear" w:pos="720"/>
          <w:tab w:val="left" w:pos="-12" w:leader="none"/>
        </w:tabs>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40"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40"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02"/>
          <w:sz w:val="20"/>
          <w:u w:val="single"/>
          <w:szCs w:val="20"/>
          <w:rFonts w:cs="Arial" w:ascii="Verdana" w:hAnsi="Verdana"/>
          <w:color w:val="000080"/>
        </w:rPr>
        <w:instrText xml:space="preserve"> HYPERLINK "http://www.planalto.gov.br/ccivil_03/_ato2019-2022/2021/lei/L14133.htm" \l "art14"</w:instrText>
      </w:r>
      <w:r>
        <w:rPr>
          <w:rStyle w:val="ListLabel202"/>
          <w:sz w:val="20"/>
          <w:u w:val="single"/>
          <w:szCs w:val="20"/>
          <w:rFonts w:cs="Arial" w:ascii="Verdana" w:hAnsi="Verdana"/>
          <w:color w:val="000080"/>
        </w:rPr>
        <w:fldChar w:fldCharType="separate"/>
      </w:r>
      <w:r>
        <w:rPr>
          <w:rStyle w:val="ListLabel202"/>
          <w:rFonts w:cs="Arial" w:ascii="Verdana" w:hAnsi="Verdana"/>
          <w:color w:val="000080"/>
          <w:sz w:val="20"/>
          <w:szCs w:val="20"/>
          <w:u w:val="single"/>
        </w:rPr>
        <w:t>art. 14 da Lei nº 14.133/2021</w:t>
      </w:r>
      <w:r>
        <w:rPr>
          <w:rStyle w:val="ListLabel20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4.3.12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Caso o licitante provisoriamente classificado em primeiro lugar tenha se utilizado de algum tratamento favorecido às ME/EPPs, o pregoeiro verificará se faz jus ao benefício, em conformidade este edital.</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0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02"/>
          <w:sz w:val="20"/>
          <w:u w:val="single"/>
          <w:szCs w:val="20"/>
          <w:rFonts w:cs="Arial" w:ascii="Verdana" w:hAnsi="Verdana"/>
          <w:color w:val="000080"/>
        </w:rPr>
        <w:fldChar w:fldCharType="separate"/>
      </w:r>
      <w:r>
        <w:rPr>
          <w:rStyle w:val="ListLabel202"/>
          <w:rFonts w:cs="Arial" w:ascii="Verdana" w:hAnsi="Verdana"/>
          <w:color w:val="000080"/>
          <w:sz w:val="20"/>
          <w:szCs w:val="20"/>
          <w:u w:val="single"/>
        </w:rPr>
        <w:t>artigo 29 a 35 da IN SEGES nº 73, de 30 de setembro de 2022</w:t>
      </w:r>
      <w:r>
        <w:rPr>
          <w:rStyle w:val="ListLabel20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7.4.1 não estiver em conformidade com os requisitos estabelecidos neste edital;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7.4.2 contenha vício insanável ou ilegalidade;</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7.4.3 não apresente as especificações técnicas exigidas pelo Termo de Referência;</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7.5 É vedado à proponente incluir na Planilha de Custos e Formação de Preços:</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7.5.4 rubricas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7.5.5 rubricas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7.5.6 rubricas denominada “verba” ou “verba provisional”, pois o item não está vinculado a qualquer contraprestação mensurável.</w:t>
      </w:r>
    </w:p>
    <w:p>
      <w:pPr>
        <w:pStyle w:val="Normal"/>
        <w:numPr>
          <w:ilvl w:val="1"/>
          <w:numId w:val="4"/>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7.8.1 Na hipótese de contratação com a previsão de itens de custos vedados, tais valores serão glosados e os itens serão excluídos da Planilha, garantidas ampla defesa e contraditório.</w:t>
      </w:r>
    </w:p>
    <w:p>
      <w:pPr>
        <w:pStyle w:val="Normal"/>
        <w:numPr>
          <w:ilvl w:val="1"/>
          <w:numId w:val="4"/>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4"/>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4"/>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7.11.1 As propostas com preços próximos ou inferiores ao mínimo estabelecido pela Prefeitura Municipal de São Gabriel da Palha, disponibilizado em meio eletrônico, no Portal de Compras Públicas (http://</w:t>
      </w:r>
      <w:bookmarkStart w:id="12" w:name="_Hlk123138684_Copia_2"/>
      <w:r>
        <w:rPr>
          <w:rFonts w:cs="Arial" w:ascii="Verdana" w:hAnsi="Verdana"/>
          <w:color w:val="000000"/>
          <w:sz w:val="20"/>
          <w:szCs w:val="20"/>
        </w:rPr>
        <w:t>www.portaldecompraspublicas.com.br</w:t>
      </w:r>
      <w:bookmarkEnd w:id="12"/>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4"/>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7.12.1.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4"/>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7.13.1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en-US"/>
        </w:rPr>
        <w:t>7.13.2 Dentre os documentos passíveis de solicitação pelo Pregoeiro, destacam-se as planilhas de custo readequadas com o valor final ofertado.</w:t>
      </w:r>
    </w:p>
    <w:p>
      <w:pPr>
        <w:pStyle w:val="ListParagraph"/>
        <w:numPr>
          <w:ilvl w:val="1"/>
          <w:numId w:val="4"/>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4"/>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4"/>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desclassificação da proposta. A planilha poderá́ ser ajustada pelo licitante, no prazo indicado pelo Pregoeiro, desde que não haja majoração do preço. </w:t>
      </w:r>
    </w:p>
    <w:p>
      <w:pPr>
        <w:pStyle w:val="Normal"/>
        <w:numPr>
          <w:ilvl w:val="2"/>
          <w:numId w:val="4"/>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sz w:val="20"/>
          <w:szCs w:val="20"/>
        </w:rPr>
        <w:t>O ajuste de que trata este dispositivo se limita a sanar erros ou falhas que não alterem a substância das propostas;</w:t>
      </w:r>
    </w:p>
    <w:p>
      <w:pPr>
        <w:pStyle w:val="Normal"/>
        <w:numPr>
          <w:ilvl w:val="2"/>
          <w:numId w:val="4"/>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4"/>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4"/>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4"/>
        </w:numPr>
        <w:spacing w:lineRule="auto" w:line="240"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4"/>
        </w:numPr>
        <w:spacing w:lineRule="auto" w:line="240"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4"/>
        </w:numPr>
        <w:spacing w:lineRule="auto" w:line="240" w:before="57" w:after="57"/>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4"/>
        </w:numPr>
        <w:spacing w:lineRule="auto" w:line="240" w:before="57" w:after="57"/>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4"/>
        </w:numPr>
        <w:spacing w:lineRule="auto" w:line="240" w:before="57" w:after="57"/>
        <w:ind w:hanging="0" w:left="0"/>
        <w:rPr>
          <w:rFonts w:ascii="Verdana" w:hAnsi="Verdana"/>
        </w:rPr>
      </w:pPr>
      <w:r>
        <w:rPr>
          <w:rFonts w:cs="Arial" w:ascii="Verdana" w:hAnsi="Verdana"/>
          <w:lang w:eastAsia="en-US"/>
        </w:rPr>
        <w:t>DA HABILITAÇÃO</w:t>
      </w:r>
    </w:p>
    <w:p>
      <w:pPr>
        <w:pStyle w:val="Nivel01"/>
        <w:numPr>
          <w:ilvl w:val="1"/>
          <w:numId w:val="5"/>
        </w:numPr>
        <w:tabs>
          <w:tab w:val="clear" w:pos="567"/>
          <w:tab w:val="left" w:pos="284" w:leader="none"/>
          <w:tab w:val="left" w:pos="517" w:leader="none"/>
        </w:tabs>
        <w:spacing w:lineRule="auto" w:line="240"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0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0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0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8.1.1 Para a consulta de licitantes pessoa jurídica poderá haver a substituição das consultas das alíneas “b”, “c” e “d” acima pela Consulta Consolidada de Pessoa Jurídica do TCU (</w:t>
      </w:r>
      <w:hyperlink r:id="rId7">
        <w:r>
          <w:rPr>
            <w:rStyle w:val="ListLabel20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rPr>
      </w:pPr>
      <w:r>
        <w:rPr>
          <w:rFonts w:cs="Arial" w:ascii="Verdana" w:hAnsi="Verdana"/>
          <w:color w:val="000000"/>
          <w:sz w:val="20"/>
          <w:szCs w:val="20"/>
        </w:rPr>
        <w:t>8.1.2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8.1.2.1.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8.1.2.2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8.1.2.3 O licitante será convocado para manifestação previamente à sua desclassificação.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8.1.3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8.1.4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5"/>
        </w:numPr>
        <w:tabs>
          <w:tab w:val="clear" w:pos="720"/>
          <w:tab w:val="left" w:pos="567" w:leader="none"/>
        </w:tabs>
        <w:spacing w:lineRule="auto" w:line="240"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5"/>
        </w:numPr>
        <w:tabs>
          <w:tab w:val="clear" w:pos="720"/>
          <w:tab w:val="left" w:pos="567" w:leader="none"/>
        </w:tabs>
        <w:spacing w:lineRule="auto" w:line="240" w:before="0" w:after="0"/>
        <w:ind w:hanging="0" w:left="0"/>
        <w:rPr>
          <w:rFonts w:ascii="Verdana" w:hAnsi="Verdana"/>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5"/>
        </w:numPr>
        <w:tabs>
          <w:tab w:val="clear" w:pos="720"/>
          <w:tab w:val="left" w:pos="567" w:leader="none"/>
        </w:tabs>
        <w:spacing w:lineRule="auto" w:line="240" w:before="0" w:after="0"/>
        <w:ind w:hanging="0" w:left="0"/>
        <w:rPr>
          <w:rFonts w:ascii="Verdana" w:hAnsi="Verdana"/>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5"/>
        </w:numPr>
        <w:tabs>
          <w:tab w:val="clear" w:pos="720"/>
          <w:tab w:val="left" w:pos="567" w:leader="none"/>
        </w:tabs>
        <w:spacing w:lineRule="auto" w:line="240" w:before="0" w:after="0"/>
        <w:ind w:hanging="0" w:left="0"/>
        <w:rPr>
          <w:rFonts w:ascii="Verdana" w:hAnsi="Verdana"/>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5"/>
        </w:numPr>
        <w:tabs>
          <w:tab w:val="clear" w:pos="720"/>
          <w:tab w:val="left" w:pos="567" w:leader="none"/>
        </w:tabs>
        <w:spacing w:lineRule="auto" w:line="240" w:before="57" w:after="57"/>
        <w:ind w:hanging="0" w:left="0"/>
        <w:rPr>
          <w:rFonts w:ascii="Verdana" w:hAnsi="Verdana"/>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5"/>
        </w:numPr>
        <w:tabs>
          <w:tab w:val="clear" w:pos="720"/>
          <w:tab w:val="left" w:pos="567" w:leader="none"/>
        </w:tabs>
        <w:spacing w:lineRule="auto" w:line="240" w:before="57" w:after="57"/>
        <w:ind w:hanging="0" w:left="0"/>
        <w:rPr>
          <w:rFonts w:ascii="Verdana" w:hAnsi="Verdana"/>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5"/>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0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5"/>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00"/>
          <w:sz w:val="20"/>
          <w:szCs w:val="20"/>
        </w:rPr>
        <w:t>:</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5"/>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5"/>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5"/>
        </w:numPr>
        <w:snapToGrid w:val="false"/>
        <w:spacing w:lineRule="auto" w:line="240"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5"/>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5"/>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5"/>
        </w:numPr>
        <w:snapToGrid w:val="false"/>
        <w:spacing w:lineRule="auto" w:line="240"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2"/>
          <w:numId w:val="5"/>
        </w:numPr>
        <w:tabs>
          <w:tab w:val="clear" w:pos="720"/>
          <w:tab w:val="left" w:pos="0" w:leader="none"/>
        </w:tabs>
        <w:snapToGrid w:val="false"/>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2"/>
          <w:numId w:val="5"/>
        </w:numPr>
        <w:tabs>
          <w:tab w:val="clear" w:pos="720"/>
          <w:tab w:val="left" w:pos="0" w:leader="none"/>
        </w:tabs>
        <w:snapToGrid w:val="false"/>
        <w:spacing w:lineRule="auto" w:line="240" w:before="57" w:after="57"/>
        <w:ind w:hanging="0" w:left="0"/>
        <w:contextualSpacing w:val="false"/>
        <w:jc w:val="both"/>
        <w:rPr>
          <w:rFonts w:ascii="Verdana" w:hAnsi="Verdana"/>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5"/>
        </w:numPr>
        <w:tabs>
          <w:tab w:val="clear" w:pos="720"/>
          <w:tab w:val="left" w:pos="617" w:leader="none"/>
        </w:tabs>
        <w:snapToGrid w:val="false"/>
        <w:spacing w:lineRule="auto" w:line="240" w:before="57" w:after="57"/>
        <w:ind w:hanging="0" w:left="0"/>
        <w:contextualSpacing w:val="false"/>
        <w:jc w:val="both"/>
        <w:rPr>
          <w:rFonts w:ascii="Verdana" w:hAnsi="Verdana"/>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5"/>
        </w:numPr>
        <w:tabs>
          <w:tab w:val="clear" w:pos="720"/>
          <w:tab w:val="left" w:pos="617" w:leader="none"/>
        </w:tabs>
        <w:snapToGrid w:val="false"/>
        <w:spacing w:lineRule="auto" w:line="240" w:before="57" w:after="57"/>
        <w:ind w:hanging="0" w:left="0"/>
        <w:contextualSpacing w:val="false"/>
        <w:jc w:val="both"/>
        <w:rPr>
          <w:rFonts w:ascii="Verdana" w:hAnsi="Verdana"/>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8.13.1 A declaração do vencedor acontecerá no momento imediatamente posterior à fase de habilitação.</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bCs/>
          <w:sz w:val="20"/>
          <w:szCs w:val="20"/>
        </w:rPr>
        <w:t xml:space="preserve">8.14 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8.15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rPr>
        <w:t>8.16 Havendo necessidade de analisar minuciosamente os documentos exigidos, o Pregoeiro suspenderá a sessão, informando no “chat” a nova data e horário para a continuidade da mesma.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rPr>
        <w:t>8.17 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rPr>
        <w:t>8.18 Constatado o atendimento às exigências de habilitação fixadas no Edital, o licitante será declarado vencedor.</w:t>
      </w:r>
    </w:p>
    <w:p>
      <w:pPr>
        <w:pStyle w:val="ListParagraph"/>
        <w:tabs>
          <w:tab w:val="clear" w:pos="720"/>
          <w:tab w:val="left" w:pos="517" w:leader="none"/>
        </w:tabs>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40"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5"/>
        </w:numPr>
        <w:tabs>
          <w:tab w:val="clear" w:pos="720"/>
          <w:tab w:val="left" w:pos="617" w:leader="none"/>
        </w:tabs>
        <w:spacing w:lineRule="auto" w:line="240" w:before="57" w:after="57"/>
        <w:ind w:hanging="0" w:left="0"/>
        <w:contextualSpacing w:val="false"/>
        <w:jc w:val="both"/>
        <w:rPr>
          <w:rFonts w:ascii="Verdana" w:hAnsi="Verdana"/>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5"/>
        </w:numPr>
        <w:tabs>
          <w:tab w:val="clear" w:pos="720"/>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5"/>
        </w:numPr>
        <w:tabs>
          <w:tab w:val="clear" w:pos="720"/>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5"/>
        </w:numPr>
        <w:tabs>
          <w:tab w:val="clear" w:pos="720"/>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5"/>
        </w:numPr>
        <w:tabs>
          <w:tab w:val="clear" w:pos="720"/>
          <w:tab w:val="left" w:pos="850" w:leader="none"/>
        </w:tabs>
        <w:spacing w:lineRule="auto" w:line="240" w:before="57" w:after="57"/>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5"/>
        </w:numPr>
        <w:tabs>
          <w:tab w:val="clear" w:pos="720"/>
          <w:tab w:val="left" w:pos="850" w:leader="none"/>
        </w:tabs>
        <w:spacing w:lineRule="auto" w:line="240" w:before="57" w:after="57"/>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40" w:before="57" w:after="57"/>
        <w:ind w:hanging="0" w:left="0"/>
        <w:rPr>
          <w:rFonts w:ascii="Verdana" w:hAnsi="Verdana"/>
        </w:rPr>
      </w:pPr>
      <w:r>
        <w:rPr>
          <w:rFonts w:cs="Arial" w:ascii="Verdana" w:hAnsi="Verdana"/>
          <w:lang w:eastAsia="en-US"/>
        </w:rPr>
        <w:t>DOS RECURSOS</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5"/>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40"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5"/>
        </w:numPr>
        <w:spacing w:lineRule="auto" w:line="240"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5"/>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keepNext w:val="false"/>
        <w:keepLines w:val="false"/>
        <w:numPr>
          <w:ilvl w:val="2"/>
          <w:numId w:val="5"/>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5"/>
        </w:numPr>
        <w:spacing w:lineRule="auto" w:line="240"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5"/>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5"/>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20"/>
          <w:tab w:val="left" w:pos="567" w:leader="none"/>
          <w:tab w:val="left" w:pos="850" w:leader="none"/>
        </w:tabs>
        <w:spacing w:lineRule="auto" w:line="240" w:before="57" w:after="57"/>
        <w:rPr>
          <w:rFonts w:ascii="Verdana" w:hAnsi="Verdana" w:cs="Arial"/>
          <w:sz w:val="20"/>
          <w:szCs w:val="20"/>
        </w:rPr>
      </w:pPr>
      <w:r>
        <w:rPr>
          <w:rFonts w:cs="Arial" w:ascii="Verdana" w:hAnsi="Verdana"/>
          <w:sz w:val="20"/>
          <w:szCs w:val="20"/>
        </w:rPr>
      </w:r>
    </w:p>
    <w:p>
      <w:pPr>
        <w:pStyle w:val="Nivel01"/>
        <w:numPr>
          <w:ilvl w:val="0"/>
          <w:numId w:val="5"/>
        </w:numPr>
        <w:spacing w:lineRule="auto" w:line="240" w:before="57" w:after="57"/>
        <w:ind w:hanging="0" w:left="0"/>
        <w:rPr>
          <w:rFonts w:ascii="Verdana" w:hAnsi="Verdana"/>
        </w:rPr>
      </w:pPr>
      <w:r>
        <w:rPr>
          <w:rFonts w:cs="Arial" w:ascii="Verdana" w:hAnsi="Verdana"/>
        </w:rPr>
        <w:t xml:space="preserve">DA ADJUDICAÇÃO E HOMOLOGAÇÃO </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5"/>
        </w:numPr>
        <w:spacing w:lineRule="auto" w:line="240" w:before="57" w:after="57"/>
        <w:ind w:hanging="0" w:left="0"/>
        <w:rPr>
          <w:rFonts w:ascii="Verdana" w:hAnsi="Verdana"/>
        </w:rPr>
      </w:pPr>
      <w:r>
        <w:rPr>
          <w:rFonts w:cs="Arial" w:ascii="Verdana" w:hAnsi="Verdana"/>
          <w:color w:val="auto"/>
        </w:rPr>
        <w:t xml:space="preserve">DA GARANTIA DE EXECUÇÃO </w:t>
      </w:r>
    </w:p>
    <w:p>
      <w:pPr>
        <w:pStyle w:val="ListParagraph"/>
        <w:numPr>
          <w:ilvl w:val="1"/>
          <w:numId w:val="5"/>
        </w:numPr>
        <w:spacing w:lineRule="auto" w:line="240" w:before="57" w:after="57"/>
        <w:ind w:hanging="0" w:left="0"/>
        <w:contextualSpacing w:val="false"/>
        <w:jc w:val="both"/>
        <w:rPr>
          <w:rFonts w:ascii="Verdana" w:hAnsi="Verdana"/>
        </w:rPr>
      </w:pPr>
      <w:r>
        <w:rPr>
          <w:rFonts w:cs="Arial" w:ascii="Verdana" w:hAnsi="Verdana"/>
          <w:sz w:val="20"/>
          <w:szCs w:val="20"/>
        </w:rPr>
        <w:t>Não haverá exigência de garantia de execução para a presente contratação.</w:t>
      </w:r>
    </w:p>
    <w:p>
      <w:pPr>
        <w:pStyle w:val="ListParagraph"/>
        <w:numPr>
          <w:ilvl w:val="2"/>
          <w:numId w:val="5"/>
        </w:numPr>
        <w:tabs>
          <w:tab w:val="clear" w:pos="720"/>
          <w:tab w:val="left" w:pos="850" w:leader="none"/>
        </w:tabs>
        <w:spacing w:lineRule="auto" w:line="240" w:before="57" w:after="57"/>
        <w:ind w:hanging="0" w:left="0"/>
        <w:contextualSpacing w:val="false"/>
        <w:jc w:val="both"/>
        <w:rPr>
          <w:rFonts w:ascii="Verdana" w:hAnsi="Verdana"/>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5"/>
        </w:numPr>
        <w:tabs>
          <w:tab w:val="clear" w:pos="720"/>
          <w:tab w:val="left" w:pos="8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20"/>
          <w:tab w:val="left" w:pos="850" w:leader="none"/>
        </w:tabs>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14. DO REAJUSTAMENTO EM SENTIDO GERAL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14.1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15. DA ACEITAÇÃO DO OBJETO E DA FISCALIZAÇÃO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15.1 Os critérios de recebimento e aceitação do objeto e de fiscalização estão previstos no Termo de Referência e Minuta de Contrato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lang w:eastAsia="en-US"/>
        </w:rPr>
        <w:t>16. DAS OBRIGAÇÕES DA CONTRATANTE E DA CONTRATADA</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16.1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Tahoma" w:ascii="Verdana" w:hAnsi="Verdana"/>
          <w:color w:val="auto"/>
        </w:rPr>
        <w:t>17</w:t>
      </w:r>
      <w:r>
        <w:rPr>
          <w:rFonts w:cs="Arial" w:ascii="Verdana" w:hAnsi="Verdana"/>
        </w:rPr>
        <w:t>. DO PAGAMENTO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17.1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Contrato anexo a este edital.</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18. DAS SANÇÕES ADMINISTRATIVAS.</w:t>
      </w:r>
    </w:p>
    <w:p>
      <w:pPr>
        <w:pStyle w:val="ListParagraph"/>
        <w:spacing w:lineRule="auto" w:line="240" w:before="57" w:after="57"/>
        <w:ind w:left="0"/>
        <w:contextualSpacing w:val="false"/>
        <w:jc w:val="both"/>
        <w:rPr>
          <w:rFonts w:ascii="Verdana" w:hAnsi="Verdana"/>
        </w:rPr>
      </w:pPr>
      <w:r>
        <w:rPr>
          <w:rFonts w:cs="Arial" w:ascii="Verdana" w:hAnsi="Verdana"/>
          <w:sz w:val="20"/>
          <w:szCs w:val="20"/>
          <w:shd w:fill="FFFFFF" w:val="clear"/>
        </w:rPr>
        <w:t>18.1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18.1.1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 xml:space="preserve">18.1.2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18.1.2.1 Não enviar a proposta adequada ao último lance ofertado ou após a negociação;</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18.1.2.2 Recusar-se a enviar o detalhamento da proposta quando exigível;</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rPr>
        <w:t xml:space="preserve">18.1.2.3 Pedir para ser desclassificado quando encerrada a etapa competitiva; ou </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18.1.2.4 Deixar de apresentar amostra;</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18.1.2.5 Apresentar proposta ou amostra em desacordo com as especificações do edital;</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18.1.3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rPr>
      </w:pPr>
      <w:r>
        <w:rPr>
          <w:rFonts w:cs="Arial" w:ascii="Verdana" w:hAnsi="Verdana"/>
          <w:sz w:val="20"/>
          <w:szCs w:val="20"/>
          <w:shd w:fill="FFFFFF" w:val="clear"/>
        </w:rPr>
        <w:t>18.1.3.1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rPr>
      </w:pPr>
      <w:r>
        <w:rPr>
          <w:rFonts w:ascii="Verdana" w:hAnsi="Verdana"/>
          <w:sz w:val="20"/>
          <w:szCs w:val="20"/>
        </w:rPr>
        <w:t>18.1.4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40" w:before="57" w:after="57"/>
        <w:jc w:val="both"/>
        <w:rPr>
          <w:rFonts w:ascii="Verdana" w:hAnsi="Verdana"/>
        </w:rPr>
      </w:pPr>
      <w:r>
        <w:rPr>
          <w:rFonts w:ascii="Verdana" w:hAnsi="Verdana"/>
          <w:sz w:val="20"/>
          <w:szCs w:val="20"/>
        </w:rPr>
        <w:t>18.1.5 F</w:t>
      </w:r>
      <w:bookmarkStart w:id="16" w:name="_Ref114668245"/>
      <w:r>
        <w:rPr>
          <w:rFonts w:ascii="Verdana" w:hAnsi="Verdana"/>
          <w:sz w:val="20"/>
          <w:szCs w:val="20"/>
        </w:rPr>
        <w:t>raudar a licitação</w:t>
      </w:r>
      <w:bookmarkEnd w:id="16"/>
    </w:p>
    <w:p>
      <w:pPr>
        <w:pStyle w:val="Normal"/>
        <w:spacing w:lineRule="auto" w:line="240" w:before="57" w:after="57"/>
        <w:jc w:val="both"/>
        <w:rPr>
          <w:rFonts w:ascii="Verdana" w:hAnsi="Verdana"/>
        </w:rPr>
      </w:pPr>
      <w:r>
        <w:rPr>
          <w:rFonts w:ascii="Verdana" w:hAnsi="Verdana"/>
          <w:sz w:val="20"/>
          <w:szCs w:val="20"/>
        </w:rPr>
        <w:t>18.1.6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40" w:before="57" w:after="57"/>
        <w:jc w:val="both"/>
        <w:rPr>
          <w:rFonts w:ascii="Verdana" w:hAnsi="Verdana"/>
        </w:rPr>
      </w:pPr>
      <w:r>
        <w:rPr>
          <w:rFonts w:ascii="Verdana" w:hAnsi="Verdana"/>
          <w:sz w:val="20"/>
          <w:szCs w:val="20"/>
        </w:rPr>
        <w:t>18.1.6.1 Agir em conluio ou em desconformidade com a lei;</w:t>
      </w:r>
    </w:p>
    <w:p>
      <w:pPr>
        <w:pStyle w:val="Normal"/>
        <w:spacing w:lineRule="auto" w:line="240" w:before="57" w:after="57"/>
        <w:jc w:val="both"/>
        <w:rPr>
          <w:rFonts w:ascii="Verdana" w:hAnsi="Verdana"/>
        </w:rPr>
      </w:pPr>
      <w:r>
        <w:rPr>
          <w:rFonts w:ascii="Verdana" w:hAnsi="Verdana"/>
          <w:sz w:val="20"/>
          <w:szCs w:val="20"/>
        </w:rPr>
        <w:t>18.1.6.2 Induzir deliberadamente a erro no julgamento;</w:t>
      </w:r>
    </w:p>
    <w:p>
      <w:pPr>
        <w:pStyle w:val="Normal"/>
        <w:spacing w:lineRule="auto" w:line="240" w:before="57" w:after="57"/>
        <w:jc w:val="both"/>
        <w:rPr>
          <w:rFonts w:ascii="Verdana" w:hAnsi="Verdana"/>
        </w:rPr>
      </w:pPr>
      <w:r>
        <w:rPr>
          <w:rFonts w:ascii="Verdana" w:hAnsi="Verdana"/>
          <w:sz w:val="20"/>
          <w:szCs w:val="20"/>
        </w:rPr>
        <w:t>18.1.6.3 Apresentar amostra falsificada ou deteriorada;</w:t>
      </w:r>
    </w:p>
    <w:p>
      <w:pPr>
        <w:pStyle w:val="Normal"/>
        <w:spacing w:lineRule="auto" w:line="240" w:before="57" w:after="57"/>
        <w:jc w:val="both"/>
        <w:rPr>
          <w:rFonts w:ascii="Verdana" w:hAnsi="Verdana"/>
        </w:rPr>
      </w:pPr>
      <w:r>
        <w:rPr>
          <w:rFonts w:ascii="Verdana" w:hAnsi="Verdana"/>
          <w:sz w:val="20"/>
          <w:szCs w:val="20"/>
        </w:rPr>
        <w:t>18.1.7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40" w:before="57" w:after="57"/>
        <w:jc w:val="both"/>
        <w:rPr/>
      </w:pPr>
      <w:r>
        <w:rPr>
          <w:rFonts w:ascii="Verdana" w:hAnsi="Verdana"/>
          <w:sz w:val="20"/>
          <w:szCs w:val="20"/>
        </w:rPr>
        <w:t>18.1.8 P</w:t>
      </w:r>
      <w:bookmarkStart w:id="19" w:name="_Ref114668252"/>
      <w:r>
        <w:rPr>
          <w:rFonts w:ascii="Verdana" w:hAnsi="Verdana"/>
          <w:sz w:val="20"/>
          <w:szCs w:val="20"/>
        </w:rPr>
        <w:t xml:space="preserve">raticar ato lesivo previsto no </w:t>
      </w:r>
      <w:r>
        <w:fldChar w:fldCharType="begin"/>
      </w:r>
      <w:r>
        <w:rPr>
          <w:rStyle w:val="ListLabel206"/>
          <w:sz w:val="20"/>
          <w:u w:val="none"/>
          <w:szCs w:val="20"/>
          <w:rFonts w:ascii="Verdana" w:hAnsi="Verdana"/>
          <w:color w:val="000000"/>
        </w:rPr>
        <w:instrText xml:space="preserve"> HYPERLINK "https://www.planalto.gov.br/ccivil_03/_ato2011-2014/2013/lei/l12846.htm" \l "art5"</w:instrText>
      </w:r>
      <w:r>
        <w:rPr>
          <w:rStyle w:val="ListLabel206"/>
          <w:sz w:val="20"/>
          <w:u w:val="none"/>
          <w:szCs w:val="20"/>
          <w:rFonts w:ascii="Verdana" w:hAnsi="Verdana"/>
          <w:color w:val="000000"/>
        </w:rPr>
        <w:fldChar w:fldCharType="separate"/>
      </w:r>
      <w:r>
        <w:rPr>
          <w:rStyle w:val="ListLabel206"/>
          <w:rFonts w:ascii="Verdana" w:hAnsi="Verdana"/>
          <w:color w:val="000000"/>
          <w:sz w:val="20"/>
          <w:szCs w:val="20"/>
          <w:u w:val="none"/>
        </w:rPr>
        <w:t>art. 5º da Lei n.º 12.846, de 2013</w:t>
      </w:r>
      <w:r>
        <w:rPr>
          <w:rStyle w:val="ListLabel206"/>
          <w:sz w:val="20"/>
          <w:u w:val="none"/>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18.2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18.2.1 advertência;</w:t>
      </w:r>
    </w:p>
    <w:p>
      <w:pPr>
        <w:pStyle w:val="Nivel2"/>
        <w:numPr>
          <w:ilvl w:val="0"/>
          <w:numId w:val="0"/>
        </w:numPr>
        <w:spacing w:lineRule="auto" w:line="240" w:before="57" w:after="57"/>
        <w:ind w:hanging="0" w:left="0"/>
        <w:rPr>
          <w:rFonts w:ascii="Verdana" w:hAnsi="Verdana"/>
        </w:rPr>
      </w:pPr>
      <w:r>
        <w:rPr>
          <w:rFonts w:ascii="Verdana" w:hAnsi="Verdana"/>
        </w:rPr>
        <w:t>18.2.2 multa;</w:t>
      </w:r>
    </w:p>
    <w:p>
      <w:pPr>
        <w:pStyle w:val="Nivel2"/>
        <w:numPr>
          <w:ilvl w:val="0"/>
          <w:numId w:val="0"/>
        </w:numPr>
        <w:spacing w:lineRule="auto" w:line="240" w:before="57" w:after="57"/>
        <w:ind w:hanging="0" w:left="0"/>
        <w:rPr>
          <w:rFonts w:ascii="Verdana" w:hAnsi="Verdana"/>
        </w:rPr>
      </w:pPr>
      <w:r>
        <w:rPr>
          <w:rFonts w:ascii="Verdana" w:hAnsi="Verdana"/>
        </w:rPr>
        <w:t>18.2.3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18.2.4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18.3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18.3.1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18.3.2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18.3.3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18.3.4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18.3.5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18.4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18.4.1 </w:t>
      </w:r>
      <w:bookmarkStart w:id="20" w:name="_Hlk113876035"/>
      <w:bookmarkStart w:id="21" w:name="_Hlk113876035_Copia_1"/>
      <w:r>
        <w:rPr>
          <w:rFonts w:ascii="Verdana" w:hAnsi="Verdana"/>
        </w:rPr>
        <w:t>Para as infrações previstas nos itens 18.1.1, 18.1.2 e 18.1.3,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18.4.2 Para as infrações previstas nos itens 18.1.4, 18.1.5, 18.1.6, 18.1.7 e 18.1.8,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18.5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18.6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18.7 A sanção de impedimento de licitar e contratar será aplicada ao responsável em decorrência das infrações administrativas relacionadas nos itens 18.1.1, 18.1.2 e 18.1.3,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18.8 Poderá ser aplicada ao responsável a sanção de declaração de inidoneidade para licitar ou contratar, em decorrência da prática das infrações dispostas nos itens 18.1.4, 18.1.5, 18.1.6, 18.1.7 e 18.1.8, bem como pelas infrações administrativas previstas nos itens 18.1.1, 18.1.2 e 18.1.3 que justifiquem a imposição de penalidade mais grave que a sanção de impedimento de licitar e contratar, cuja duração observará o prazo previsto no </w:t>
      </w:r>
      <w:r>
        <w:fldChar w:fldCharType="begin"/>
      </w:r>
      <w:r>
        <w:rPr>
          <w:rStyle w:val="ListLabel207"/>
          <w:u w:val="none"/>
          <w:rFonts w:ascii="Verdana" w:hAnsi="Verdana"/>
          <w:color w:val="000000"/>
        </w:rPr>
        <w:instrText xml:space="preserve"> HYPERLINK "http://www.planalto.gov.br/ccivil_03/_ato2019-2022/2021/lei/L14133.htm" \l "art156%C2%A75"</w:instrText>
      </w:r>
      <w:r>
        <w:rPr>
          <w:rStyle w:val="ListLabel207"/>
          <w:u w:val="none"/>
          <w:rFonts w:ascii="Verdana" w:hAnsi="Verdana"/>
          <w:color w:val="000000"/>
        </w:rPr>
        <w:fldChar w:fldCharType="separate"/>
      </w:r>
      <w:r>
        <w:rPr>
          <w:rStyle w:val="ListLabel207"/>
          <w:rFonts w:ascii="Verdana" w:hAnsi="Verdana"/>
          <w:color w:val="000000"/>
          <w:u w:val="none"/>
        </w:rPr>
        <w:t>art. 156, §5º, da Lei n.º 14.133/2021</w:t>
      </w:r>
      <w:r>
        <w:rPr>
          <w:rStyle w:val="ListLabel207"/>
          <w:u w:val="none"/>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18.9 A recusa injustificada do adjudicatário em assinar o contrato ou a ata de registro de preço, ou em aceitar ou retirar o instrumento equivalente no prazo estabelecido pela Administração, descrita no item 18.1.3, caracterizará o descumprimento total da obrigação assumida e o sujeitará às penalidades e à imediata perda da garantia de proposta em favor do órgão ou entidade promotora da licitação, nos termos do </w:t>
      </w:r>
      <w:hyperlink r:id="rId9">
        <w:r>
          <w:rPr>
            <w:rStyle w:val="ListLabel207"/>
            <w:rFonts w:ascii="Verdana" w:hAnsi="Verdana"/>
            <w:color w:val="000000"/>
            <w:u w:val="none"/>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18.10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18.11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18.11.1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18.12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rPr>
      </w:pPr>
      <w:r>
        <w:rPr>
          <w:rFonts w:cs="Arial" w:ascii="Verdana" w:hAnsi="Verdana"/>
          <w:shd w:fill="FFFFFF" w:val="clear"/>
        </w:rPr>
        <w:t>18.13 A aplicação das sanções previstas neste edital não exclui, em hipótese alguma, a obrigação de reparação integral dos danos causados.</w:t>
      </w:r>
    </w:p>
    <w:p>
      <w:pPr>
        <w:pStyle w:val="Nivel2"/>
        <w:numPr>
          <w:ilvl w:val="0"/>
          <w:numId w:val="0"/>
        </w:numPr>
        <w:spacing w:lineRule="auto" w:line="240" w:before="57" w:after="57"/>
        <w:ind w:hanging="0" w:left="0"/>
        <w:rPr>
          <w:rFonts w:ascii="Verdana" w:hAnsi="Verdana"/>
        </w:rPr>
      </w:pPr>
      <w:r>
        <w:rPr>
          <w:rFonts w:ascii="Verdana" w:hAnsi="Verdana"/>
        </w:rPr>
      </w:r>
    </w:p>
    <w:p>
      <w:pPr>
        <w:pStyle w:val="Nivel01"/>
        <w:spacing w:lineRule="auto" w:line="240" w:before="57" w:after="57"/>
        <w:rPr>
          <w:rFonts w:ascii="Verdana" w:hAnsi="Verdana"/>
        </w:rPr>
      </w:pPr>
      <w:r>
        <w:rPr>
          <w:rFonts w:cs="Arial" w:ascii="Verdana" w:hAnsi="Verdana"/>
        </w:rPr>
        <w:t>19. DA IMPUGNAÇÃO AO EDITAL E DO PEDIDO DE ESCLARECIMENTO</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 xml:space="preserve">19.1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19.2 A impugnação poderá ser realizada por forma eletrônica, pelo e-mail </w:t>
      </w:r>
      <w:hyperlink r:id="rId10">
        <w:r>
          <w:rPr>
            <w:rStyle w:val="ListLabel20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19.3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19.4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19.5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19.6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19.7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19.8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19.9 As respostas aos pedidos de esclarecimentos serão divulgadas pelo sistema e vincularão os participantes e a administração.</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rPr>
        <w:t>20. DAS DISPOSIÇÕES GERAIS</w:t>
      </w:r>
    </w:p>
    <w:p>
      <w:pPr>
        <w:pStyle w:val="Normal"/>
        <w:spacing w:lineRule="auto" w:line="240" w:before="57" w:after="57"/>
        <w:jc w:val="both"/>
        <w:rPr>
          <w:rFonts w:ascii="Verdana" w:hAnsi="Verdana"/>
        </w:rPr>
      </w:pPr>
      <w:r>
        <w:rPr>
          <w:rFonts w:cs="Arial" w:ascii="Verdana" w:hAnsi="Verdana"/>
          <w:color w:val="000000"/>
          <w:sz w:val="20"/>
          <w:szCs w:val="20"/>
        </w:rPr>
        <w:t>20.1 Da sessão pública do Pregão divulgar-se-á Ata no sistema eletrônico.</w:t>
      </w:r>
    </w:p>
    <w:p>
      <w:pPr>
        <w:pStyle w:val="Normal"/>
        <w:spacing w:lineRule="auto" w:line="240" w:before="57" w:after="57"/>
        <w:jc w:val="both"/>
        <w:rPr>
          <w:rFonts w:ascii="Verdana" w:hAnsi="Verdana"/>
        </w:rPr>
      </w:pPr>
      <w:r>
        <w:rPr>
          <w:rFonts w:cs="Arial" w:ascii="Verdana" w:hAnsi="Verdana"/>
          <w:color w:val="000000"/>
          <w:sz w:val="20"/>
          <w:szCs w:val="20"/>
        </w:rPr>
        <w:t>20.2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rPr>
      </w:pPr>
      <w:r>
        <w:rPr>
          <w:rFonts w:cs="Arial" w:ascii="Verdana" w:hAnsi="Verdana"/>
          <w:color w:val="000000"/>
          <w:sz w:val="20"/>
          <w:szCs w:val="20"/>
        </w:rPr>
        <w:t>20.3 Todas as referências de tempo no Edital, no aviso e durante a sessão pública observarão o horário de Brasília – DF.</w:t>
      </w:r>
    </w:p>
    <w:p>
      <w:pPr>
        <w:pStyle w:val="Normal"/>
        <w:spacing w:lineRule="auto" w:line="240" w:before="57" w:after="57"/>
        <w:jc w:val="both"/>
        <w:rPr>
          <w:rFonts w:ascii="Verdana" w:hAnsi="Verdana"/>
        </w:rPr>
      </w:pPr>
      <w:r>
        <w:rPr>
          <w:rFonts w:cs="Arial" w:ascii="Verdana" w:hAnsi="Verdana"/>
          <w:color w:val="000000"/>
          <w:sz w:val="20"/>
          <w:szCs w:val="20"/>
        </w:rPr>
        <w:t>20.4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rPr>
      </w:pPr>
      <w:r>
        <w:rPr>
          <w:rFonts w:cs="Arial" w:ascii="Verdana" w:hAnsi="Verdana"/>
          <w:color w:val="000000"/>
          <w:sz w:val="20"/>
          <w:szCs w:val="20"/>
        </w:rPr>
        <w:t>20.5 A homologação do resultado desta licitação não implicará direito à contratação.</w:t>
      </w:r>
    </w:p>
    <w:p>
      <w:pPr>
        <w:pStyle w:val="Normal"/>
        <w:spacing w:lineRule="auto" w:line="240" w:before="57" w:after="57"/>
        <w:jc w:val="both"/>
        <w:rPr>
          <w:rFonts w:ascii="Verdana" w:hAnsi="Verdana"/>
        </w:rPr>
      </w:pPr>
      <w:r>
        <w:rPr>
          <w:rFonts w:cs="Arial" w:ascii="Verdana" w:hAnsi="Verdana"/>
          <w:color w:val="000000"/>
          <w:sz w:val="20"/>
          <w:szCs w:val="20"/>
        </w:rPr>
        <w:t>20.6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rPr>
      </w:pPr>
      <w:r>
        <w:rPr>
          <w:rFonts w:cs="Arial" w:ascii="Verdana" w:hAnsi="Verdana"/>
          <w:color w:val="000000"/>
          <w:sz w:val="20"/>
          <w:szCs w:val="20"/>
        </w:rPr>
        <w:t>20.7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rPr>
      </w:pPr>
      <w:r>
        <w:rPr>
          <w:rFonts w:cs="Arial" w:ascii="Verdana" w:hAnsi="Verdana"/>
          <w:color w:val="000000"/>
          <w:sz w:val="20"/>
          <w:szCs w:val="20"/>
        </w:rPr>
        <w:t>20.8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rPr>
      </w:pPr>
      <w:r>
        <w:rPr>
          <w:rFonts w:cs="Arial" w:ascii="Verdana" w:hAnsi="Verdana"/>
          <w:color w:val="000000"/>
          <w:sz w:val="20"/>
          <w:szCs w:val="20"/>
        </w:rPr>
        <w:t>20.9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rPr>
      </w:pPr>
      <w:r>
        <w:rPr>
          <w:rFonts w:cs="Arial" w:ascii="Verdana" w:hAnsi="Verdana"/>
          <w:color w:val="000000"/>
          <w:sz w:val="20"/>
          <w:szCs w:val="20"/>
        </w:rPr>
        <w:t>20.10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20.11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04"/>
            <w:rFonts w:ascii="Verdana" w:hAnsi="Verdana"/>
            <w:color w:val="000080"/>
            <w:sz w:val="20"/>
            <w:szCs w:val="20"/>
            <w:u w:val="single"/>
          </w:rPr>
          <w:t>licitacao@</w:t>
        </w:r>
      </w:hyperlink>
      <w:hyperlink r:id="rId12">
        <w:r>
          <w:rPr>
            <w:rStyle w:val="ListLabel204"/>
            <w:rFonts w:ascii="Verdana" w:hAnsi="Verdana"/>
            <w:color w:val="000080"/>
            <w:sz w:val="20"/>
            <w:szCs w:val="20"/>
            <w:u w:val="single"/>
          </w:rPr>
          <w:t>saogabriel</w:t>
        </w:r>
      </w:hyperlink>
      <w:hyperlink r:id="rId13">
        <w:r>
          <w:rPr>
            <w:rStyle w:val="ListLabel20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 xml:space="preserve">situada na Praça Vicente Glazar, 159, Glória, São Gabriel da Palha/ES, CEP 29.780-000, </w:t>
      </w:r>
      <w:r>
        <w:rPr>
          <w:rFonts w:ascii="Verdana" w:hAnsi="Verdana"/>
          <w:sz w:val="20"/>
          <w:szCs w:val="20"/>
        </w:rPr>
        <w:t>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rFonts w:ascii="Verdana" w:hAnsi="Verdana"/>
        </w:rPr>
      </w:pPr>
      <w:r>
        <w:rPr>
          <w:rFonts w:cs="Arial" w:ascii="Verdana" w:hAnsi="Verdana"/>
          <w:color w:val="000000"/>
          <w:sz w:val="20"/>
          <w:szCs w:val="20"/>
        </w:rPr>
        <w:t>20.12 Integram este Edital, para todos os fins e efeitos, os seguintes anexos</w:t>
      </w:r>
    </w:p>
    <w:p>
      <w:pPr>
        <w:pStyle w:val="Normal"/>
        <w:spacing w:lineRule="auto" w:line="240" w:before="57" w:after="57"/>
        <w:jc w:val="both"/>
        <w:rPr>
          <w:rFonts w:ascii="Verdana" w:hAnsi="Verdana"/>
        </w:rPr>
      </w:pPr>
      <w:r>
        <w:rPr>
          <w:rFonts w:cs="Arial" w:ascii="Verdana" w:hAnsi="Verdana"/>
          <w:color w:val="000000"/>
          <w:sz w:val="20"/>
          <w:szCs w:val="20"/>
        </w:rPr>
        <w:t>20.12.1 ANEXO I – Modelo Orientativo de Proposta;</w:t>
      </w:r>
    </w:p>
    <w:p>
      <w:pPr>
        <w:pStyle w:val="Normal"/>
        <w:spacing w:lineRule="auto" w:line="240" w:before="57" w:after="57"/>
        <w:jc w:val="both"/>
        <w:rPr>
          <w:rFonts w:ascii="Verdana" w:hAnsi="Verdana"/>
        </w:rPr>
      </w:pPr>
      <w:r>
        <w:rPr>
          <w:rFonts w:cs="Arial" w:ascii="Verdana" w:hAnsi="Verdana"/>
          <w:color w:val="000000"/>
          <w:sz w:val="20"/>
          <w:szCs w:val="20"/>
        </w:rPr>
        <w:t>20.12.2 ANEXO II – Termo de Referência;</w:t>
      </w:r>
    </w:p>
    <w:p>
      <w:pPr>
        <w:pStyle w:val="Normal"/>
        <w:spacing w:lineRule="auto" w:line="240" w:before="57" w:after="57"/>
        <w:jc w:val="both"/>
        <w:rPr>
          <w:rFonts w:ascii="Verdana" w:hAnsi="Verdana"/>
        </w:rPr>
      </w:pPr>
      <w:r>
        <w:rPr>
          <w:rFonts w:cs="Arial" w:ascii="Verdana" w:hAnsi="Verdana"/>
          <w:color w:val="000000"/>
          <w:sz w:val="20"/>
          <w:szCs w:val="20"/>
        </w:rPr>
        <w:t>20.12.3 ANEXO II-1 – Estudo Técnico Preliminar;</w:t>
      </w:r>
    </w:p>
    <w:p>
      <w:pPr>
        <w:pStyle w:val="Normal"/>
        <w:tabs>
          <w:tab w:val="clear" w:pos="720"/>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20.12.3 ANEXO III – Minuta de Contrato.</w:t>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40"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40" w:before="57" w:after="57"/>
        <w:ind w:hanging="0" w:left="0"/>
        <w:jc w:val="center"/>
        <w:outlineLvl w:val="0"/>
        <w:rPr>
          <w:rFonts w:ascii="Verdana" w:hAnsi="Verdana"/>
        </w:rPr>
      </w:pPr>
      <w:r>
        <w:rPr>
          <w:rFonts w:cs="Arial" w:ascii="Verdana" w:hAnsi="Verdana"/>
          <w:color w:val="000000"/>
          <w:sz w:val="20"/>
          <w:szCs w:val="20"/>
        </w:rPr>
        <w:t>São Gabriel da Palha/ES, 13 de maio de 2026.</w:t>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spacing w:lineRule="auto" w:line="240"/>
        <w:jc w:val="center"/>
        <w:rPr>
          <w:rFonts w:ascii="Verdana" w:hAnsi="Verdana"/>
        </w:rPr>
      </w:pPr>
      <w:r>
        <w:rPr>
          <w:rFonts w:cs="Verdana" w:ascii="Verdana" w:hAnsi="Verdana"/>
          <w:b/>
          <w:sz w:val="20"/>
          <w:szCs w:val="20"/>
        </w:rPr>
        <w:t>MARCELLA FERREIRA ROSSONI ROCHA</w:t>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rPr>
      </w:pPr>
      <w:r>
        <w:rPr>
          <w:rFonts w:cs="Verdana" w:ascii="Verdana" w:hAnsi="Verdana"/>
          <w:b/>
          <w:sz w:val="20"/>
          <w:szCs w:val="20"/>
        </w:rPr>
        <w:t>Secretária Municipal de Saúde - Interina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341" w:bottom="99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Praça Vicente Glazar nº 159, Centro, São Gabriel da Palha, ES. CEP. 29.780-000.</w:t>
    </w:r>
  </w:p>
  <w:p>
    <w:pPr>
      <w:pStyle w:val="Footer"/>
      <w:jc w:val="center"/>
      <w:rPr>
        <w:sz w:val="18"/>
        <w:szCs w:val="18"/>
      </w:rPr>
    </w:pPr>
    <w:r>
      <w:rPr>
        <w:sz w:val="18"/>
        <w:szCs w:val="18"/>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Praça Vicente Glazar nº 159, Centro, São Gabriel da Palha, ES. CEP. 29.780-000.</w:t>
    </w:r>
  </w:p>
  <w:p>
    <w:pPr>
      <w:pStyle w:val="Footer"/>
      <w:jc w:val="center"/>
      <w:rPr>
        <w:sz w:val="18"/>
        <w:szCs w:val="18"/>
      </w:rPr>
    </w:pPr>
    <w:r>
      <w:rPr>
        <w:sz w:val="18"/>
        <w:szCs w:val="18"/>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20"/>
        <w:b/>
        <w:szCs w:val="20"/>
        <w:rFonts w:ascii="Verdana" w:hAnsi="Verdana"/>
      </w:rPr>
    </w:lvl>
    <w:lvl w:ilvl="1">
      <w:start w:val="7"/>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8"/>
      <w:numFmt w:val="decimal"/>
      <w:lvlText w:val="%1"/>
      <w:lvlJc w:val="left"/>
      <w:pPr>
        <w:tabs>
          <w:tab w:val="num" w:pos="0"/>
        </w:tabs>
        <w:ind w:left="360" w:hanging="360"/>
      </w:pPr>
      <w:rPr>
        <w:b/>
        <w:bCs w:val="false"/>
        <w:rFonts w:ascii="Verdana" w:hAnsi="Verdana" w:cs="Arial"/>
      </w:rPr>
    </w:lvl>
    <w:lvl w:ilvl="1">
      <w:start w:val="1"/>
      <w:numFmt w:val="decimal"/>
      <w:lvlText w:val="%1.%2"/>
      <w:lvlJc w:val="left"/>
      <w:pPr>
        <w:tabs>
          <w:tab w:val="num" w:pos="0"/>
        </w:tabs>
        <w:ind w:left="720" w:hanging="720"/>
      </w:pPr>
      <w:rPr>
        <w:sz w:val="20"/>
        <w:b w:val="false"/>
        <w:szCs w:val="20"/>
        <w:rFonts w:ascii="Verdana" w:hAnsi="Verdana" w:cs="Arial"/>
      </w:rPr>
    </w:lvl>
    <w:lvl w:ilvl="2">
      <w:start w:val="1"/>
      <w:numFmt w:val="decimal"/>
      <w:lvlText w:val="%1.%2.%3"/>
      <w:lvlJc w:val="left"/>
      <w:pPr>
        <w:tabs>
          <w:tab w:val="num" w:pos="0"/>
        </w:tabs>
        <w:ind w:left="720" w:hanging="720"/>
      </w:pPr>
      <w:rPr>
        <w:sz w:val="20"/>
        <w:b w:val="false"/>
        <w:szCs w:val="20"/>
        <w:rFonts w:ascii="Verdana" w:hAnsi="Verdana" w:cs="Arial"/>
      </w:rPr>
    </w:lvl>
    <w:lvl w:ilvl="3">
      <w:start w:val="1"/>
      <w:numFmt w:val="decimal"/>
      <w:lvlText w:val="%1.%2.%3.%4"/>
      <w:lvlJc w:val="left"/>
      <w:pPr>
        <w:tabs>
          <w:tab w:val="num" w:pos="0"/>
        </w:tabs>
        <w:ind w:left="1080" w:hanging="1080"/>
      </w:pPr>
      <w:rPr>
        <w:b w:val="false"/>
        <w:rFonts w:cs="Arial"/>
      </w:rPr>
    </w:lvl>
    <w:lvl w:ilvl="4">
      <w:start w:val="1"/>
      <w:numFmt w:val="decimal"/>
      <w:lvlText w:val="%1.%2.%3.%4.%5"/>
      <w:lvlJc w:val="left"/>
      <w:pPr>
        <w:tabs>
          <w:tab w:val="num" w:pos="0"/>
        </w:tabs>
        <w:ind w:left="1440" w:hanging="1440"/>
      </w:pPr>
      <w:rPr>
        <w:b w:val="false"/>
        <w:rFonts w:cs="Arial"/>
      </w:rPr>
    </w:lvl>
    <w:lvl w:ilvl="5">
      <w:start w:val="1"/>
      <w:numFmt w:val="decimal"/>
      <w:lvlText w:val="%1.%2.%3.%4.%5.%6"/>
      <w:lvlJc w:val="left"/>
      <w:pPr>
        <w:tabs>
          <w:tab w:val="num" w:pos="0"/>
        </w:tabs>
        <w:ind w:left="1440" w:hanging="1440"/>
      </w:pPr>
      <w:rPr>
        <w:b w:val="false"/>
        <w:rFonts w:cs="Arial"/>
      </w:rPr>
    </w:lvl>
    <w:lvl w:ilvl="6">
      <w:start w:val="1"/>
      <w:numFmt w:val="decimal"/>
      <w:lvlText w:val="%1.%2.%3.%4.%5.%6.%7"/>
      <w:lvlJc w:val="left"/>
      <w:pPr>
        <w:tabs>
          <w:tab w:val="num" w:pos="0"/>
        </w:tabs>
        <w:ind w:left="1800" w:hanging="1800"/>
      </w:pPr>
      <w:rPr>
        <w:b w:val="false"/>
        <w:rFonts w:cs="Arial"/>
      </w:rPr>
    </w:lvl>
    <w:lvl w:ilvl="7">
      <w:start w:val="1"/>
      <w:numFmt w:val="decimal"/>
      <w:lvlText w:val="%1.%2.%3.%4.%5.%6.%7.%8"/>
      <w:lvlJc w:val="left"/>
      <w:pPr>
        <w:tabs>
          <w:tab w:val="num" w:pos="0"/>
        </w:tabs>
        <w:ind w:left="2160" w:hanging="2160"/>
      </w:pPr>
      <w:rPr>
        <w:b w:val="false"/>
        <w:rFonts w:cs="Arial"/>
      </w:rPr>
    </w:lvl>
    <w:lvl w:ilvl="8">
      <w:start w:val="1"/>
      <w:numFmt w:val="decimal"/>
      <w:lvlText w:val="%1.%2.%3.%4.%5.%6.%7.%8.%9"/>
      <w:lvlJc w:val="left"/>
      <w:pPr>
        <w:tabs>
          <w:tab w:val="num" w:pos="0"/>
        </w:tabs>
        <w:ind w:left="2160" w:hanging="2160"/>
      </w:pPr>
      <w:rPr>
        <w:b w:val="false"/>
        <w:rFonts w:cs="Arial"/>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472</TotalTime>
  <Application>LibreOffice/24.2.6.2$Windows_X86_64 LibreOffice_project/ef66aa7e36a1bb8e65bfbc63aba53045a14d0871</Application>
  <AppVersion>15.0000</AppVersion>
  <Pages>16</Pages>
  <Words>8659</Words>
  <Characters>49289</Characters>
  <CharactersWithSpaces>57560</CharactersWithSpaces>
  <Paragraphs>327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2024-07-09T19:27:00Z</dcterms:created>
  <dc:creator>Compras</dc:creator>
  <dc:description/>
  <dc:language>pt-BR</dc:language>
  <cp:lastModifiedBy/>
  <cp:lastPrinted>2026-01-07T13:45:54Z</cp:lastPrinted>
  <dcterms:modified xsi:type="dcterms:W3CDTF">2026-05-20T16:27:39Z</dcterms:modified>
  <cp:revision>11</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